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54EEF" w14:textId="77777777" w:rsidR="00A01230" w:rsidRDefault="00A01230" w:rsidP="00A01230">
      <w:pPr>
        <w:rPr>
          <w:rFonts w:ascii="Century Gothic" w:hAnsi="Century Gothic"/>
        </w:rPr>
      </w:pPr>
    </w:p>
    <w:p w14:paraId="7C61F62B" w14:textId="5A8BF8BC" w:rsidR="00A01230" w:rsidRDefault="00A2587D" w:rsidP="00A01230">
      <w:pPr>
        <w:rPr>
          <w:rFonts w:ascii="Century Gothic" w:hAnsi="Century Gothic"/>
          <w:color w:val="ED7D31" w:themeColor="accent2"/>
          <w:sz w:val="28"/>
          <w:szCs w:val="28"/>
        </w:rPr>
      </w:pPr>
      <w:bookmarkStart w:id="0" w:name="_Hlk179369304"/>
      <w:bookmarkEnd w:id="0"/>
      <w:r>
        <w:rPr>
          <w:rFonts w:ascii="Century Gothic" w:hAnsi="Century Gothic"/>
          <w:noProof/>
        </w:rPr>
        <w:drawing>
          <wp:anchor distT="0" distB="0" distL="114300" distR="114300" simplePos="0" relativeHeight="251660288" behindDoc="1" locked="0" layoutInCell="1" allowOverlap="1" wp14:anchorId="436DE420" wp14:editId="7A61C167">
            <wp:simplePos x="0" y="0"/>
            <wp:positionH relativeFrom="margin">
              <wp:posOffset>73152</wp:posOffset>
            </wp:positionH>
            <wp:positionV relativeFrom="paragraph">
              <wp:posOffset>185115</wp:posOffset>
            </wp:positionV>
            <wp:extent cx="2252422" cy="716890"/>
            <wp:effectExtent l="0" t="0" r="0" b="7620"/>
            <wp:wrapNone/>
            <wp:docPr id="3" name="Picture 3" descr="C:\Users\avemma.watson\AppData\Local\Microsoft\Windows\INetCache\Content.MSO\3F0C3B1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vemma.watson\AppData\Local\Microsoft\Windows\INetCache\Content.MSO\3F0C3B17.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7491" cy="7185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2DDD89" w14:textId="07837E2B" w:rsidR="00A01230" w:rsidRDefault="00A01230" w:rsidP="00A01230">
      <w:pPr>
        <w:rPr>
          <w:rFonts w:ascii="Century Gothic" w:hAnsi="Century Gothic"/>
          <w:sz w:val="28"/>
          <w:szCs w:val="28"/>
        </w:rPr>
      </w:pPr>
    </w:p>
    <w:p w14:paraId="710F2082" w14:textId="77777777" w:rsidR="00A2587D" w:rsidRDefault="00A2587D" w:rsidP="00A01230">
      <w:pPr>
        <w:rPr>
          <w:rFonts w:ascii="Century Gothic" w:hAnsi="Century Gothic"/>
          <w:noProof/>
          <w:sz w:val="28"/>
          <w:szCs w:val="28"/>
        </w:rPr>
      </w:pPr>
    </w:p>
    <w:p w14:paraId="69C18AE6" w14:textId="1951FE49" w:rsidR="00A2587D" w:rsidRDefault="00A2587D" w:rsidP="00A2587D">
      <w:pPr>
        <w:jc w:val="center"/>
        <w:rPr>
          <w:rFonts w:ascii="Century Gothic" w:hAnsi="Century Gothic"/>
          <w:b/>
          <w:sz w:val="40"/>
          <w:szCs w:val="40"/>
        </w:rPr>
      </w:pPr>
    </w:p>
    <w:p w14:paraId="67EF6466" w14:textId="7B85D27E" w:rsidR="00A2587D" w:rsidRDefault="00A2587D" w:rsidP="00A2587D">
      <w:pPr>
        <w:jc w:val="center"/>
        <w:rPr>
          <w:rFonts w:ascii="Century Gothic" w:hAnsi="Century Gothic"/>
          <w:b/>
          <w:sz w:val="40"/>
          <w:szCs w:val="40"/>
        </w:rPr>
      </w:pPr>
      <w:r>
        <w:rPr>
          <w:noProof/>
        </w:rPr>
        <w:drawing>
          <wp:anchor distT="0" distB="0" distL="114300" distR="114300" simplePos="0" relativeHeight="251661312" behindDoc="0" locked="0" layoutInCell="1" allowOverlap="1" wp14:anchorId="2782AD19" wp14:editId="57E924C8">
            <wp:simplePos x="0" y="0"/>
            <wp:positionH relativeFrom="margin">
              <wp:align>right</wp:align>
            </wp:positionH>
            <wp:positionV relativeFrom="paragraph">
              <wp:posOffset>260324</wp:posOffset>
            </wp:positionV>
            <wp:extent cx="1009320" cy="1043838"/>
            <wp:effectExtent l="0" t="0" r="635" b="4445"/>
            <wp:wrapNone/>
            <wp:docPr id="1569212324" name="Picture 2" descr="Lingfield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ngfield Primary School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320" cy="10438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B4BC66" w14:textId="582C16E1" w:rsidR="00A2587D" w:rsidRDefault="00A2587D" w:rsidP="00A2587D">
      <w:pPr>
        <w:jc w:val="center"/>
        <w:rPr>
          <w:rFonts w:ascii="Century Gothic" w:hAnsi="Century Gothic"/>
          <w:b/>
          <w:sz w:val="40"/>
          <w:szCs w:val="40"/>
        </w:rPr>
      </w:pPr>
      <w:r w:rsidRPr="00A2587D">
        <w:rPr>
          <w:rFonts w:ascii="Century Gothic" w:hAnsi="Century Gothic"/>
          <w:b/>
          <w:sz w:val="40"/>
          <w:szCs w:val="40"/>
        </w:rPr>
        <w:t>Lingfield Primary School</w:t>
      </w:r>
    </w:p>
    <w:p w14:paraId="5B98ABCE" w14:textId="376208BF" w:rsidR="00A01230" w:rsidRDefault="00A01230" w:rsidP="00A2587D">
      <w:pPr>
        <w:jc w:val="center"/>
        <w:rPr>
          <w:rFonts w:ascii="Century Gothic" w:hAnsi="Century Gothic"/>
          <w:b/>
          <w:sz w:val="28"/>
          <w:szCs w:val="28"/>
        </w:rPr>
      </w:pPr>
      <w:r w:rsidRPr="00DE692D">
        <w:rPr>
          <w:rFonts w:ascii="Century Gothic" w:hAnsi="Century Gothic"/>
          <w:b/>
          <w:sz w:val="28"/>
          <w:szCs w:val="28"/>
        </w:rPr>
        <w:t>Accessibility Plan 202</w:t>
      </w:r>
      <w:r w:rsidR="00A2587D">
        <w:rPr>
          <w:rFonts w:ascii="Century Gothic" w:hAnsi="Century Gothic"/>
          <w:b/>
          <w:sz w:val="28"/>
          <w:szCs w:val="28"/>
        </w:rPr>
        <w:t>5</w:t>
      </w:r>
      <w:r w:rsidRPr="00DE692D">
        <w:rPr>
          <w:rFonts w:ascii="Century Gothic" w:hAnsi="Century Gothic"/>
          <w:b/>
          <w:sz w:val="28"/>
          <w:szCs w:val="28"/>
        </w:rPr>
        <w:t>-202</w:t>
      </w:r>
      <w:r w:rsidR="00A2587D">
        <w:rPr>
          <w:rFonts w:ascii="Century Gothic" w:hAnsi="Century Gothic"/>
          <w:b/>
          <w:sz w:val="28"/>
          <w:szCs w:val="28"/>
        </w:rPr>
        <w:t>8</w:t>
      </w:r>
    </w:p>
    <w:p w14:paraId="0B03F247" w14:textId="77777777" w:rsidR="00DE692D" w:rsidRDefault="00DE692D" w:rsidP="00A01230">
      <w:pPr>
        <w:rPr>
          <w:rFonts w:ascii="Century Gothic" w:hAnsi="Century Gothic"/>
          <w:sz w:val="28"/>
          <w:szCs w:val="28"/>
        </w:rPr>
      </w:pPr>
    </w:p>
    <w:tbl>
      <w:tblPr>
        <w:tblStyle w:val="TableGrid"/>
        <w:tblpPr w:leftFromText="180" w:rightFromText="180" w:vertAnchor="page" w:horzAnchor="margin" w:tblpY="5749"/>
        <w:tblW w:w="9049" w:type="dxa"/>
        <w:tblLook w:val="04A0" w:firstRow="1" w:lastRow="0" w:firstColumn="1" w:lastColumn="0" w:noHBand="0" w:noVBand="1"/>
      </w:tblPr>
      <w:tblGrid>
        <w:gridCol w:w="4588"/>
        <w:gridCol w:w="4461"/>
      </w:tblGrid>
      <w:tr w:rsidR="00A01230" w:rsidRPr="00751F18" w14:paraId="08CB73E5" w14:textId="77777777" w:rsidTr="00A2587D">
        <w:trPr>
          <w:trHeight w:val="418"/>
        </w:trPr>
        <w:tc>
          <w:tcPr>
            <w:tcW w:w="9049" w:type="dxa"/>
            <w:gridSpan w:val="2"/>
          </w:tcPr>
          <w:p w14:paraId="31724B9C" w14:textId="6AE1CC4F" w:rsidR="00A01230" w:rsidRPr="00751F18" w:rsidRDefault="00A01230" w:rsidP="00A2587D">
            <w:pPr>
              <w:spacing w:line="276" w:lineRule="auto"/>
              <w:jc w:val="center"/>
              <w:rPr>
                <w:rFonts w:ascii="Century Gothic" w:eastAsia="Times New Roman" w:hAnsi="Century Gothic"/>
                <w:b/>
                <w:bCs/>
              </w:rPr>
            </w:pPr>
            <w:r w:rsidRPr="09DF5013">
              <w:rPr>
                <w:rFonts w:ascii="Century Gothic" w:eastAsia="Times New Roman" w:hAnsi="Century Gothic"/>
                <w:b/>
                <w:bCs/>
              </w:rPr>
              <w:t>Policy Version Control</w:t>
            </w:r>
          </w:p>
        </w:tc>
      </w:tr>
      <w:tr w:rsidR="00A01230" w:rsidRPr="00751F18" w14:paraId="4CB273F4" w14:textId="77777777" w:rsidTr="00A2587D">
        <w:trPr>
          <w:trHeight w:val="418"/>
        </w:trPr>
        <w:tc>
          <w:tcPr>
            <w:tcW w:w="4588" w:type="dxa"/>
          </w:tcPr>
          <w:p w14:paraId="0029D1F7" w14:textId="77777777" w:rsidR="00A01230" w:rsidRPr="00751F18" w:rsidRDefault="00A01230" w:rsidP="00A2587D">
            <w:pPr>
              <w:spacing w:line="276" w:lineRule="auto"/>
              <w:jc w:val="center"/>
              <w:rPr>
                <w:rFonts w:ascii="Century Gothic" w:eastAsia="Times New Roman" w:hAnsi="Century Gothic"/>
              </w:rPr>
            </w:pPr>
            <w:r w:rsidRPr="00751F18">
              <w:rPr>
                <w:rFonts w:ascii="Century Gothic" w:eastAsia="Times New Roman" w:hAnsi="Century Gothic"/>
              </w:rPr>
              <w:t>Policy type</w:t>
            </w:r>
          </w:p>
        </w:tc>
        <w:tc>
          <w:tcPr>
            <w:tcW w:w="4461" w:type="dxa"/>
          </w:tcPr>
          <w:p w14:paraId="5F68A5EE" w14:textId="29DECCE5" w:rsidR="00A01230" w:rsidRPr="00751F18" w:rsidRDefault="00DE692D" w:rsidP="00A2587D">
            <w:pPr>
              <w:spacing w:line="276" w:lineRule="auto"/>
              <w:jc w:val="center"/>
              <w:rPr>
                <w:rFonts w:ascii="Century Gothic" w:eastAsia="Times New Roman" w:hAnsi="Century Gothic"/>
              </w:rPr>
            </w:pPr>
            <w:r>
              <w:rPr>
                <w:rFonts w:ascii="Century Gothic" w:eastAsia="Times New Roman" w:hAnsi="Century Gothic"/>
              </w:rPr>
              <w:t>LGB</w:t>
            </w:r>
          </w:p>
        </w:tc>
      </w:tr>
      <w:tr w:rsidR="00A01230" w:rsidRPr="00751F18" w14:paraId="1547EFB9" w14:textId="77777777" w:rsidTr="00A2587D">
        <w:trPr>
          <w:trHeight w:val="821"/>
        </w:trPr>
        <w:tc>
          <w:tcPr>
            <w:tcW w:w="4588" w:type="dxa"/>
          </w:tcPr>
          <w:p w14:paraId="75172D5B" w14:textId="77777777" w:rsidR="00A01230" w:rsidRPr="00751F18" w:rsidRDefault="00A01230" w:rsidP="00A2587D">
            <w:pPr>
              <w:spacing w:line="276" w:lineRule="auto"/>
              <w:jc w:val="center"/>
              <w:rPr>
                <w:rFonts w:ascii="Century Gothic" w:eastAsia="Times New Roman" w:hAnsi="Century Gothic"/>
              </w:rPr>
            </w:pPr>
            <w:r w:rsidRPr="00751F18">
              <w:rPr>
                <w:rFonts w:ascii="Century Gothic" w:eastAsia="Times New Roman" w:hAnsi="Century Gothic"/>
              </w:rPr>
              <w:t>Policy prepared by (name and delegation)</w:t>
            </w:r>
          </w:p>
        </w:tc>
        <w:tc>
          <w:tcPr>
            <w:tcW w:w="4461" w:type="dxa"/>
          </w:tcPr>
          <w:p w14:paraId="1533F479" w14:textId="77777777" w:rsidR="00A01230" w:rsidRDefault="00A01230" w:rsidP="00A2587D">
            <w:pPr>
              <w:spacing w:line="276" w:lineRule="auto"/>
              <w:jc w:val="center"/>
              <w:rPr>
                <w:rFonts w:ascii="Century Gothic" w:eastAsia="Times New Roman" w:hAnsi="Century Gothic"/>
              </w:rPr>
            </w:pPr>
            <w:r>
              <w:rPr>
                <w:rFonts w:ascii="Century Gothic" w:eastAsia="Times New Roman" w:hAnsi="Century Gothic"/>
              </w:rPr>
              <w:t>Nicola Padgett</w:t>
            </w:r>
          </w:p>
          <w:p w14:paraId="0536758A" w14:textId="77777777" w:rsidR="00DE692D" w:rsidRPr="00751F18" w:rsidRDefault="00DE692D" w:rsidP="00A2587D">
            <w:pPr>
              <w:spacing w:line="276" w:lineRule="auto"/>
              <w:jc w:val="center"/>
              <w:rPr>
                <w:rFonts w:ascii="Century Gothic" w:eastAsia="Times New Roman" w:hAnsi="Century Gothic"/>
              </w:rPr>
            </w:pPr>
            <w:r>
              <w:rPr>
                <w:rFonts w:ascii="Century Gothic" w:eastAsia="Times New Roman" w:hAnsi="Century Gothic"/>
              </w:rPr>
              <w:t>Headteacher</w:t>
            </w:r>
          </w:p>
        </w:tc>
      </w:tr>
      <w:tr w:rsidR="00A01230" w:rsidRPr="00751F18" w14:paraId="415D5C22" w14:textId="77777777" w:rsidTr="00A2587D">
        <w:trPr>
          <w:trHeight w:val="418"/>
        </w:trPr>
        <w:tc>
          <w:tcPr>
            <w:tcW w:w="4588" w:type="dxa"/>
          </w:tcPr>
          <w:p w14:paraId="03C455B7" w14:textId="77777777" w:rsidR="00A01230" w:rsidRPr="00751F18" w:rsidRDefault="00A01230" w:rsidP="00A2587D">
            <w:pPr>
              <w:spacing w:line="276" w:lineRule="auto"/>
              <w:jc w:val="center"/>
              <w:rPr>
                <w:rFonts w:ascii="Century Gothic" w:eastAsia="Times New Roman" w:hAnsi="Century Gothic"/>
              </w:rPr>
            </w:pPr>
            <w:r w:rsidRPr="00751F18">
              <w:rPr>
                <w:rFonts w:ascii="Century Gothic" w:eastAsia="Times New Roman" w:hAnsi="Century Gothic"/>
              </w:rPr>
              <w:t>Last review date</w:t>
            </w:r>
          </w:p>
        </w:tc>
        <w:tc>
          <w:tcPr>
            <w:tcW w:w="4461" w:type="dxa"/>
          </w:tcPr>
          <w:p w14:paraId="1E19083A" w14:textId="287F3F13" w:rsidR="00A01230" w:rsidRPr="00751F18" w:rsidRDefault="00A01230" w:rsidP="00A2587D">
            <w:pPr>
              <w:spacing w:line="276" w:lineRule="auto"/>
              <w:jc w:val="center"/>
              <w:rPr>
                <w:rFonts w:ascii="Century Gothic" w:eastAsia="Times New Roman" w:hAnsi="Century Gothic"/>
              </w:rPr>
            </w:pPr>
            <w:r>
              <w:rPr>
                <w:rFonts w:ascii="Century Gothic" w:eastAsia="Times New Roman" w:hAnsi="Century Gothic"/>
              </w:rPr>
              <w:t>Autumn 202</w:t>
            </w:r>
            <w:r w:rsidR="00A2587D">
              <w:rPr>
                <w:rFonts w:ascii="Century Gothic" w:eastAsia="Times New Roman" w:hAnsi="Century Gothic"/>
              </w:rPr>
              <w:t>5</w:t>
            </w:r>
          </w:p>
        </w:tc>
      </w:tr>
      <w:tr w:rsidR="00A01230" w:rsidRPr="00751F18" w14:paraId="56324482" w14:textId="77777777" w:rsidTr="00A2587D">
        <w:trPr>
          <w:trHeight w:val="418"/>
        </w:trPr>
        <w:tc>
          <w:tcPr>
            <w:tcW w:w="4588" w:type="dxa"/>
          </w:tcPr>
          <w:p w14:paraId="35A44DA2" w14:textId="77777777" w:rsidR="00A01230" w:rsidRPr="00751F18" w:rsidRDefault="00A01230" w:rsidP="00A2587D">
            <w:pPr>
              <w:spacing w:line="276" w:lineRule="auto"/>
              <w:jc w:val="center"/>
              <w:rPr>
                <w:rFonts w:ascii="Century Gothic" w:eastAsia="Times New Roman" w:hAnsi="Century Gothic"/>
              </w:rPr>
            </w:pPr>
            <w:r w:rsidRPr="00751F18">
              <w:rPr>
                <w:rFonts w:ascii="Century Gothic" w:eastAsia="Times New Roman" w:hAnsi="Century Gothic"/>
              </w:rPr>
              <w:t>Description of changes</w:t>
            </w:r>
          </w:p>
        </w:tc>
        <w:tc>
          <w:tcPr>
            <w:tcW w:w="4461" w:type="dxa"/>
          </w:tcPr>
          <w:p w14:paraId="7B430C0D" w14:textId="7BAF1ECA" w:rsidR="00A01230" w:rsidRPr="00751F18" w:rsidRDefault="00A2587D" w:rsidP="00A2587D">
            <w:pPr>
              <w:spacing w:line="276" w:lineRule="auto"/>
              <w:jc w:val="center"/>
              <w:rPr>
                <w:rFonts w:ascii="Century Gothic" w:eastAsia="Times New Roman" w:hAnsi="Century Gothic"/>
              </w:rPr>
            </w:pPr>
            <w:r>
              <w:rPr>
                <w:rFonts w:ascii="Century Gothic" w:eastAsia="Times New Roman" w:hAnsi="Century Gothic"/>
              </w:rPr>
              <w:t>New Policy</w:t>
            </w:r>
          </w:p>
        </w:tc>
      </w:tr>
      <w:tr w:rsidR="00A01230" w:rsidRPr="00751F18" w14:paraId="31B9620C" w14:textId="77777777" w:rsidTr="00A2587D">
        <w:trPr>
          <w:trHeight w:val="418"/>
        </w:trPr>
        <w:tc>
          <w:tcPr>
            <w:tcW w:w="4588" w:type="dxa"/>
          </w:tcPr>
          <w:p w14:paraId="617B1DBE" w14:textId="77777777" w:rsidR="00A01230" w:rsidRPr="00751F18" w:rsidRDefault="00A01230" w:rsidP="00A2587D">
            <w:pPr>
              <w:spacing w:line="276" w:lineRule="auto"/>
              <w:jc w:val="center"/>
              <w:rPr>
                <w:rFonts w:ascii="Century Gothic" w:eastAsia="Times New Roman" w:hAnsi="Century Gothic"/>
              </w:rPr>
            </w:pPr>
            <w:r w:rsidRPr="39091790">
              <w:rPr>
                <w:rFonts w:ascii="Century Gothic" w:eastAsia="Times New Roman" w:hAnsi="Century Gothic"/>
              </w:rPr>
              <w:t>Date of LGB approval</w:t>
            </w:r>
          </w:p>
        </w:tc>
        <w:tc>
          <w:tcPr>
            <w:tcW w:w="4461" w:type="dxa"/>
          </w:tcPr>
          <w:p w14:paraId="4B30FF27" w14:textId="48E93C74" w:rsidR="00A01230" w:rsidRPr="00751F18" w:rsidRDefault="00A2587D" w:rsidP="00A2587D">
            <w:pPr>
              <w:spacing w:line="276" w:lineRule="auto"/>
              <w:jc w:val="center"/>
              <w:rPr>
                <w:rFonts w:ascii="Century Gothic" w:eastAsia="Times New Roman" w:hAnsi="Century Gothic"/>
              </w:rPr>
            </w:pPr>
            <w:r>
              <w:rPr>
                <w:rFonts w:ascii="Century Gothic" w:eastAsia="Times New Roman" w:hAnsi="Century Gothic"/>
              </w:rPr>
              <w:t>03</w:t>
            </w:r>
            <w:r w:rsidR="00A01230">
              <w:rPr>
                <w:rFonts w:ascii="Century Gothic" w:eastAsia="Times New Roman" w:hAnsi="Century Gothic"/>
              </w:rPr>
              <w:t>.1</w:t>
            </w:r>
            <w:r>
              <w:rPr>
                <w:rFonts w:ascii="Century Gothic" w:eastAsia="Times New Roman" w:hAnsi="Century Gothic"/>
              </w:rPr>
              <w:t>1</w:t>
            </w:r>
            <w:r w:rsidR="00A01230">
              <w:rPr>
                <w:rFonts w:ascii="Century Gothic" w:eastAsia="Times New Roman" w:hAnsi="Century Gothic"/>
              </w:rPr>
              <w:t>.2024</w:t>
            </w:r>
          </w:p>
        </w:tc>
      </w:tr>
      <w:tr w:rsidR="00A01230" w:rsidRPr="00751F18" w14:paraId="7FB9F7EB" w14:textId="77777777" w:rsidTr="00A2587D">
        <w:trPr>
          <w:trHeight w:val="403"/>
        </w:trPr>
        <w:tc>
          <w:tcPr>
            <w:tcW w:w="4588" w:type="dxa"/>
          </w:tcPr>
          <w:p w14:paraId="2FF328E6" w14:textId="77777777" w:rsidR="00A01230" w:rsidRPr="00751F18" w:rsidRDefault="00A01230" w:rsidP="00A2587D">
            <w:pPr>
              <w:spacing w:line="276" w:lineRule="auto"/>
              <w:jc w:val="center"/>
              <w:rPr>
                <w:rFonts w:ascii="Century Gothic" w:eastAsia="Times New Roman" w:hAnsi="Century Gothic"/>
              </w:rPr>
            </w:pPr>
            <w:r w:rsidRPr="00751F18">
              <w:rPr>
                <w:rFonts w:ascii="Century Gothic" w:eastAsia="Times New Roman" w:hAnsi="Century Gothic"/>
              </w:rPr>
              <w:t>Date released</w:t>
            </w:r>
          </w:p>
        </w:tc>
        <w:tc>
          <w:tcPr>
            <w:tcW w:w="4461" w:type="dxa"/>
          </w:tcPr>
          <w:p w14:paraId="1E74BE6C" w14:textId="704C0C5A" w:rsidR="00A01230" w:rsidRPr="00751F18" w:rsidRDefault="00DE692D" w:rsidP="00A2587D">
            <w:pPr>
              <w:spacing w:line="276" w:lineRule="auto"/>
              <w:jc w:val="center"/>
              <w:rPr>
                <w:rFonts w:ascii="Century Gothic" w:eastAsia="Times New Roman" w:hAnsi="Century Gothic"/>
              </w:rPr>
            </w:pPr>
            <w:r>
              <w:rPr>
                <w:rFonts w:ascii="Century Gothic" w:eastAsia="Times New Roman" w:hAnsi="Century Gothic"/>
              </w:rPr>
              <w:t>0</w:t>
            </w:r>
            <w:r w:rsidR="00A2587D">
              <w:rPr>
                <w:rFonts w:ascii="Century Gothic" w:eastAsia="Times New Roman" w:hAnsi="Century Gothic"/>
              </w:rPr>
              <w:t>3.11.2025</w:t>
            </w:r>
          </w:p>
        </w:tc>
      </w:tr>
      <w:tr w:rsidR="00A01230" w:rsidRPr="00751F18" w14:paraId="06257031" w14:textId="77777777" w:rsidTr="00A2587D">
        <w:trPr>
          <w:trHeight w:val="418"/>
        </w:trPr>
        <w:tc>
          <w:tcPr>
            <w:tcW w:w="4588" w:type="dxa"/>
          </w:tcPr>
          <w:p w14:paraId="1C68E58A" w14:textId="77777777" w:rsidR="00A01230" w:rsidRPr="00751F18" w:rsidRDefault="00A01230" w:rsidP="00A2587D">
            <w:pPr>
              <w:spacing w:line="276" w:lineRule="auto"/>
              <w:jc w:val="center"/>
              <w:rPr>
                <w:rFonts w:ascii="Century Gothic" w:eastAsia="Times New Roman" w:hAnsi="Century Gothic"/>
              </w:rPr>
            </w:pPr>
            <w:r w:rsidRPr="00751F18">
              <w:rPr>
                <w:rFonts w:ascii="Century Gothic" w:eastAsia="Times New Roman" w:hAnsi="Century Gothic"/>
              </w:rPr>
              <w:t>Next review date</w:t>
            </w:r>
          </w:p>
        </w:tc>
        <w:tc>
          <w:tcPr>
            <w:tcW w:w="4461" w:type="dxa"/>
          </w:tcPr>
          <w:p w14:paraId="7F3A99A6" w14:textId="4E4DCEB4" w:rsidR="00A01230" w:rsidRPr="00751F18" w:rsidRDefault="00DE692D" w:rsidP="00A2587D">
            <w:pPr>
              <w:spacing w:line="276" w:lineRule="auto"/>
              <w:jc w:val="center"/>
              <w:rPr>
                <w:rFonts w:ascii="Century Gothic" w:eastAsia="Times New Roman" w:hAnsi="Century Gothic"/>
              </w:rPr>
            </w:pPr>
            <w:r>
              <w:rPr>
                <w:rFonts w:ascii="Century Gothic" w:eastAsia="Times New Roman" w:hAnsi="Century Gothic"/>
              </w:rPr>
              <w:t>Autumn 202</w:t>
            </w:r>
            <w:r w:rsidR="00A2587D">
              <w:rPr>
                <w:rFonts w:ascii="Century Gothic" w:eastAsia="Times New Roman" w:hAnsi="Century Gothic"/>
              </w:rPr>
              <w:t>6</w:t>
            </w:r>
          </w:p>
        </w:tc>
      </w:tr>
    </w:tbl>
    <w:p w14:paraId="7E823FD2" w14:textId="5B1EB4B4" w:rsidR="00A2587D" w:rsidRDefault="00A2587D" w:rsidP="00A01230">
      <w:pPr>
        <w:rPr>
          <w:rFonts w:ascii="Century Gothic" w:hAnsi="Century Gothic"/>
          <w:color w:val="ED7D31" w:themeColor="accent2"/>
          <w:sz w:val="28"/>
          <w:szCs w:val="28"/>
        </w:rPr>
      </w:pPr>
    </w:p>
    <w:p w14:paraId="102BB5FA" w14:textId="3B6AC361" w:rsidR="00A2587D" w:rsidRDefault="00A2587D" w:rsidP="00A01230">
      <w:pPr>
        <w:rPr>
          <w:rFonts w:ascii="Century Gothic" w:hAnsi="Century Gothic"/>
          <w:color w:val="ED7D31" w:themeColor="accent2"/>
          <w:sz w:val="28"/>
          <w:szCs w:val="28"/>
        </w:rPr>
      </w:pPr>
    </w:p>
    <w:p w14:paraId="654DB714" w14:textId="0F383CEC" w:rsidR="00DE692D" w:rsidRDefault="00A01230" w:rsidP="00A01230">
      <w:pPr>
        <w:rPr>
          <w:rFonts w:ascii="Century Gothic" w:hAnsi="Century Gothic"/>
          <w:color w:val="ED7D31" w:themeColor="accent2"/>
          <w:sz w:val="28"/>
          <w:szCs w:val="28"/>
        </w:rPr>
      </w:pPr>
      <w:r w:rsidRPr="006E290A">
        <w:rPr>
          <w:rFonts w:ascii="Century Gothic" w:hAnsi="Century Gothic"/>
          <w:color w:val="ED7D31" w:themeColor="accent2"/>
          <w:sz w:val="28"/>
          <w:szCs w:val="28"/>
        </w:rPr>
        <w:t>No</w:t>
      </w:r>
      <w:r w:rsidR="00DE692D" w:rsidRPr="006E290A">
        <w:rPr>
          <w:rFonts w:ascii="Century Gothic" w:hAnsi="Century Gothic"/>
          <w:color w:val="ED7D31" w:themeColor="accent2"/>
          <w:sz w:val="28"/>
          <w:szCs w:val="28"/>
        </w:rPr>
        <w:t>tes</w:t>
      </w:r>
    </w:p>
    <w:p w14:paraId="40B1D8BE" w14:textId="77777777" w:rsidR="00A01230" w:rsidRPr="00751F18" w:rsidRDefault="00A01230" w:rsidP="00A01230">
      <w:pPr>
        <w:rPr>
          <w:rFonts w:ascii="Century Gothic" w:hAnsi="Century Gothic"/>
        </w:rPr>
      </w:pPr>
    </w:p>
    <w:p w14:paraId="01D4D0B6" w14:textId="77777777" w:rsidR="00A01230" w:rsidRDefault="00A01230" w:rsidP="00A01230">
      <w:pPr>
        <w:rPr>
          <w:rFonts w:ascii="Century Gothic" w:hAnsi="Century Gothic"/>
        </w:rPr>
      </w:pPr>
    </w:p>
    <w:p w14:paraId="5C5787DE" w14:textId="77777777" w:rsidR="00A01230" w:rsidRDefault="00A01230">
      <w:pPr>
        <w:rPr>
          <w:b/>
        </w:rPr>
      </w:pPr>
    </w:p>
    <w:p w14:paraId="250440DF" w14:textId="40AA3E26" w:rsidR="002A4D0F" w:rsidRDefault="00A01230">
      <w:pPr>
        <w:rPr>
          <w:b/>
        </w:rPr>
      </w:pPr>
      <w:r>
        <w:rPr>
          <w:b/>
        </w:rPr>
        <w:br w:type="column"/>
      </w:r>
      <w:r w:rsidR="00A2587D">
        <w:rPr>
          <w:b/>
        </w:rPr>
        <w:lastRenderedPageBreak/>
        <w:t>Lingfield</w:t>
      </w:r>
      <w:r w:rsidR="002A4D0F">
        <w:rPr>
          <w:b/>
        </w:rPr>
        <w:t xml:space="preserve"> Primary School Accessibility Plan 202</w:t>
      </w:r>
      <w:r w:rsidR="00A2587D">
        <w:rPr>
          <w:b/>
        </w:rPr>
        <w:t>5</w:t>
      </w:r>
      <w:r w:rsidR="002A4D0F">
        <w:rPr>
          <w:b/>
        </w:rPr>
        <w:t>-202</w:t>
      </w:r>
      <w:r w:rsidR="00A2587D">
        <w:rPr>
          <w:b/>
        </w:rPr>
        <w:t>8</w:t>
      </w:r>
    </w:p>
    <w:p w14:paraId="2F3960BD" w14:textId="77777777" w:rsidR="002A4D0F" w:rsidRDefault="002A4D0F">
      <w:pPr>
        <w:rPr>
          <w:b/>
        </w:rPr>
      </w:pPr>
      <w:r>
        <w:rPr>
          <w:b/>
        </w:rPr>
        <w:t>__________________________________________________________________________________</w:t>
      </w:r>
    </w:p>
    <w:p w14:paraId="4740EF34" w14:textId="77777777" w:rsidR="009F40EA" w:rsidRPr="009F40EA" w:rsidRDefault="009F40EA">
      <w:pPr>
        <w:rPr>
          <w:b/>
        </w:rPr>
      </w:pPr>
      <w:r w:rsidRPr="009F40EA">
        <w:rPr>
          <w:b/>
        </w:rPr>
        <w:t xml:space="preserve">Introduction </w:t>
      </w:r>
    </w:p>
    <w:p w14:paraId="21256EBE" w14:textId="77777777" w:rsidR="009F40EA" w:rsidRDefault="009F40EA" w:rsidP="000468FF">
      <w:pPr>
        <w:jc w:val="both"/>
      </w:pPr>
      <w:r>
        <w:t xml:space="preserve">The Equality Act 2010 replaced previous discrimination law and provides a single piece of legislation covering all the types of discrimination that are unlawful. </w:t>
      </w:r>
    </w:p>
    <w:p w14:paraId="34162220" w14:textId="77777777" w:rsidR="009F40EA" w:rsidRDefault="009F40EA" w:rsidP="000468FF">
      <w:pPr>
        <w:jc w:val="both"/>
      </w:pPr>
      <w:r>
        <w:t xml:space="preserve">Schools have to carry out accessibility planning for disabled pupils. </w:t>
      </w:r>
    </w:p>
    <w:p w14:paraId="5027FAD1" w14:textId="77777777" w:rsidR="009F40EA" w:rsidRPr="009F40EA" w:rsidRDefault="009F40EA" w:rsidP="000468FF">
      <w:pPr>
        <w:jc w:val="both"/>
        <w:rPr>
          <w:b/>
        </w:rPr>
      </w:pPr>
      <w:r w:rsidRPr="009F40EA">
        <w:rPr>
          <w:b/>
        </w:rPr>
        <w:t xml:space="preserve">Our school’s accessibility plans are aimed at: </w:t>
      </w:r>
    </w:p>
    <w:p w14:paraId="28CE11EC" w14:textId="77777777" w:rsidR="009F40EA" w:rsidRDefault="009F40EA" w:rsidP="000468FF">
      <w:pPr>
        <w:pStyle w:val="ListParagraph"/>
        <w:numPr>
          <w:ilvl w:val="0"/>
          <w:numId w:val="1"/>
        </w:numPr>
        <w:jc w:val="both"/>
      </w:pPr>
      <w:r>
        <w:t xml:space="preserve">Increasing the extent to which disabled pupils can participate in the curriculum </w:t>
      </w:r>
    </w:p>
    <w:p w14:paraId="04925717" w14:textId="77777777" w:rsidR="009F40EA" w:rsidRDefault="009F40EA" w:rsidP="000468FF">
      <w:pPr>
        <w:pStyle w:val="ListParagraph"/>
        <w:numPr>
          <w:ilvl w:val="0"/>
          <w:numId w:val="1"/>
        </w:numPr>
        <w:jc w:val="both"/>
      </w:pPr>
      <w:r>
        <w:t xml:space="preserve">Improving the physical environment of schools to enable disabled pupils to take better advantage of education, benefits, facilities and services provided, and </w:t>
      </w:r>
    </w:p>
    <w:p w14:paraId="7D23C459" w14:textId="77777777" w:rsidR="009F40EA" w:rsidRDefault="009F40EA" w:rsidP="000468FF">
      <w:pPr>
        <w:pStyle w:val="ListParagraph"/>
        <w:numPr>
          <w:ilvl w:val="0"/>
          <w:numId w:val="1"/>
        </w:numPr>
        <w:jc w:val="both"/>
      </w:pPr>
      <w:r>
        <w:t xml:space="preserve">Improving the availability of accessible information to disabled pupils </w:t>
      </w:r>
    </w:p>
    <w:p w14:paraId="603096F9" w14:textId="77777777" w:rsidR="009F40EA" w:rsidRDefault="009F40EA" w:rsidP="000468FF">
      <w:pPr>
        <w:jc w:val="both"/>
      </w:pPr>
      <w:r>
        <w:t xml:space="preserve">Attached is a set of action plans showing how the school will address the priorities identified in the plan. We recognise the need to provide adequate resources for implementing the action plans and will review them annually. </w:t>
      </w:r>
    </w:p>
    <w:p w14:paraId="431CA60C" w14:textId="77777777" w:rsidR="009F40EA" w:rsidRPr="009F40EA" w:rsidRDefault="009F40EA" w:rsidP="000468FF">
      <w:pPr>
        <w:jc w:val="both"/>
        <w:rPr>
          <w:b/>
        </w:rPr>
      </w:pPr>
      <w:r w:rsidRPr="009F40EA">
        <w:rPr>
          <w:b/>
        </w:rPr>
        <w:t xml:space="preserve">Definition of Disability: </w:t>
      </w:r>
    </w:p>
    <w:p w14:paraId="3D1B0129" w14:textId="77777777" w:rsidR="009F40EA" w:rsidRDefault="009F40EA" w:rsidP="000468FF">
      <w:pPr>
        <w:jc w:val="both"/>
      </w:pPr>
      <w:r>
        <w:t xml:space="preserve">Disability is defined by the Disability Discrimination Act 1995 (DDA): ‘A person has a disability if he or she has a physical or mental impairment that has a substantial and </w:t>
      </w:r>
      <w:r w:rsidR="000468FF">
        <w:t>long-term</w:t>
      </w:r>
      <w:r>
        <w:t xml:space="preserve"> adverse effect on his or her ability to carry out normal day to day activities.’ </w:t>
      </w:r>
    </w:p>
    <w:p w14:paraId="500863D3" w14:textId="77777777" w:rsidR="009F40EA" w:rsidRDefault="009F40EA" w:rsidP="000468FF">
      <w:pPr>
        <w:jc w:val="both"/>
      </w:pPr>
      <w:r>
        <w:t xml:space="preserve">The definition of disability under the law is a wide one. The definition includes people with a hearing or visual impairment, cerebral palsy, muscular dystrophy, mental health issues and incontinence. People with ADHD, Autistic Spectrum Disorder, Downs Syndrome and Hydrocephalus are included. Medical conditions such as cystic fibrosis, severe asthma, diabetes, cancer, multiple sclerosis, epilepsy, sickle cell anaemia and HIV are deemed disabilities. Facial disfigurement, severe dyslexia, gross obesity and diagnosed eating disorders are all included. </w:t>
      </w:r>
    </w:p>
    <w:p w14:paraId="673C9EB0" w14:textId="77777777" w:rsidR="00A2587D" w:rsidRPr="00A2587D" w:rsidRDefault="00A2587D" w:rsidP="000468FF">
      <w:pPr>
        <w:jc w:val="both"/>
        <w:rPr>
          <w:b/>
          <w:bCs/>
        </w:rPr>
      </w:pPr>
      <w:r w:rsidRPr="00A2587D">
        <w:rPr>
          <w:b/>
          <w:bCs/>
        </w:rPr>
        <w:t xml:space="preserve">Legislation and guidance </w:t>
      </w:r>
    </w:p>
    <w:p w14:paraId="1B7B7A24" w14:textId="25344DC6" w:rsidR="00A2587D" w:rsidRDefault="00A2587D" w:rsidP="000468FF">
      <w:pPr>
        <w:jc w:val="both"/>
      </w:pPr>
      <w:r>
        <w:t>This document meets the requirements of schedule 10 of the Equality Act 2010 and the Department for Education (DfE) guidance for schools on the Equality Act 2010. The Equality Act 2010 defines an individual as disabled if they have a physical or mental impairment that has a ‘substantial’ and ‘long-term’ adverse effect on their ability to undertake normal day to day activities. Under the Special Educational Needs and Disability (SEND) Code of Practice, ‘long-term’ is defined as ‘a year or more’ and ‘substantial’ is defined as ‘more than minor or trivial’. The definition includes sensory impairments such as those affecting sight or hearing, and long-term health conditions such as asthma, diabetes, epilepsy and cancer. Schools are required to make ‘reasonable adjustments’ for pupils with disabilities under the Equality Act 2010, to alleviate any substantial disadvantage that a disabled pupil faces in comparison with nondisabled pupils. This can include, for example, the provision of an auxiliary aid or adjustments to premises.</w:t>
      </w:r>
    </w:p>
    <w:p w14:paraId="6CEA7F00" w14:textId="77777777" w:rsidR="009F40EA" w:rsidRPr="009F40EA" w:rsidRDefault="009F40EA" w:rsidP="000468FF">
      <w:pPr>
        <w:jc w:val="both"/>
        <w:rPr>
          <w:b/>
        </w:rPr>
      </w:pPr>
      <w:r w:rsidRPr="009F40EA">
        <w:rPr>
          <w:b/>
        </w:rPr>
        <w:t xml:space="preserve">The purpose and direction of the school’s plan: vision and values </w:t>
      </w:r>
    </w:p>
    <w:p w14:paraId="7B170BAC" w14:textId="2CEDDCFC" w:rsidR="009F40EA" w:rsidRDefault="008A4A71" w:rsidP="000468FF">
      <w:pPr>
        <w:jc w:val="both"/>
      </w:pPr>
      <w:r>
        <w:t xml:space="preserve">At </w:t>
      </w:r>
      <w:r w:rsidR="00A2587D">
        <w:t>Lingfield</w:t>
      </w:r>
      <w:r>
        <w:t xml:space="preserve"> </w:t>
      </w:r>
      <w:r w:rsidR="009F40EA">
        <w:t xml:space="preserve">Primary School we are committed to giving </w:t>
      </w:r>
      <w:proofErr w:type="gramStart"/>
      <w:r w:rsidR="009F40EA">
        <w:t>all of</w:t>
      </w:r>
      <w:proofErr w:type="gramEnd"/>
      <w:r w:rsidR="009F40EA">
        <w:t xml:space="preserve"> our children every opportunity to achieve the highest of standards. We do this by taking account of pupils’ varied life experiences and needs. We offer a broad and balanced curriculum and have high expectations for all children. The achievements, attitudes and well-being of </w:t>
      </w:r>
      <w:r>
        <w:t xml:space="preserve">all our children matter. </w:t>
      </w:r>
      <w:r w:rsidR="00A2587D">
        <w:t>Lingfield</w:t>
      </w:r>
      <w:r w:rsidR="009F40EA">
        <w:t xml:space="preserve"> Primary School promotes </w:t>
      </w:r>
      <w:r w:rsidR="009F40EA">
        <w:lastRenderedPageBreak/>
        <w:t xml:space="preserve">the individuality of all our children, irrespective of ethnicity, attainment, age, disability, gender or background. </w:t>
      </w:r>
    </w:p>
    <w:p w14:paraId="3E27BC3F" w14:textId="77777777" w:rsidR="009F40EA" w:rsidRDefault="009F40EA" w:rsidP="000468FF">
      <w:pPr>
        <w:jc w:val="both"/>
      </w:pPr>
      <w:r>
        <w:t xml:space="preserve">Our school aims to be an inclusive and kind school. We actively seek to remove the barriers to learning and participation that can hinder or exclude individual pupils, or groups of pupils. Pupils with disabilities are fully included in the life of the school. They participate fully in the curriculum, and are fully involved in school visits. They access all areas of the school building, as the building is newly refurbished and fully complies with all Disability Discrimination Act Regulations. As such, we are proud to have a building which includes: </w:t>
      </w:r>
    </w:p>
    <w:p w14:paraId="156D92FB" w14:textId="0DC6E585" w:rsidR="009F40EA" w:rsidRDefault="009F40EA" w:rsidP="000468FF">
      <w:pPr>
        <w:pStyle w:val="ListParagraph"/>
        <w:numPr>
          <w:ilvl w:val="0"/>
          <w:numId w:val="2"/>
        </w:numPr>
        <w:jc w:val="both"/>
      </w:pPr>
      <w:r>
        <w:t>A dedica</w:t>
      </w:r>
      <w:r w:rsidR="008A4A71">
        <w:t>ted hygiene room – with shower</w:t>
      </w:r>
      <w:r w:rsidR="00A2587D">
        <w:t xml:space="preserve"> within nursery</w:t>
      </w:r>
    </w:p>
    <w:p w14:paraId="52BEB50E" w14:textId="066CCFB4" w:rsidR="00A2587D" w:rsidRDefault="00A2587D" w:rsidP="000468FF">
      <w:pPr>
        <w:pStyle w:val="ListParagraph"/>
        <w:numPr>
          <w:ilvl w:val="0"/>
          <w:numId w:val="2"/>
        </w:numPr>
        <w:jc w:val="both"/>
      </w:pPr>
      <w:r>
        <w:t>Ramps to access areas in school on different levels</w:t>
      </w:r>
    </w:p>
    <w:p w14:paraId="1E2C8862" w14:textId="77777777" w:rsidR="009F40EA" w:rsidRDefault="009F40EA" w:rsidP="000468FF">
      <w:pPr>
        <w:pStyle w:val="ListParagraph"/>
        <w:numPr>
          <w:ilvl w:val="0"/>
          <w:numId w:val="2"/>
        </w:numPr>
        <w:jc w:val="both"/>
      </w:pPr>
      <w:r>
        <w:t xml:space="preserve">Wide doors – externally and internally, so that children and adults using wheelchairs do not require special routes around the school – and children can access every room in the building that they need to </w:t>
      </w:r>
    </w:p>
    <w:p w14:paraId="36F405E1" w14:textId="760EFA14" w:rsidR="009F40EA" w:rsidRDefault="00A2587D" w:rsidP="000468FF">
      <w:pPr>
        <w:pStyle w:val="ListParagraph"/>
        <w:numPr>
          <w:ilvl w:val="0"/>
          <w:numId w:val="2"/>
        </w:numPr>
        <w:jc w:val="both"/>
      </w:pPr>
      <w:r>
        <w:t>An</w:t>
      </w:r>
      <w:r w:rsidR="008A4A71">
        <w:t xml:space="preserve"> accessible toilet area </w:t>
      </w:r>
    </w:p>
    <w:p w14:paraId="4A9258B0" w14:textId="77777777" w:rsidR="009F40EA" w:rsidRDefault="009F40EA" w:rsidP="000468FF">
      <w:pPr>
        <w:pStyle w:val="ListParagraph"/>
        <w:numPr>
          <w:ilvl w:val="0"/>
          <w:numId w:val="2"/>
        </w:numPr>
        <w:jc w:val="both"/>
      </w:pPr>
      <w:r>
        <w:t xml:space="preserve">Wide footpaths round the school building – ensuring that wheelchair users do not feel uncomfortable travelling along narrow paths with pedestrians </w:t>
      </w:r>
    </w:p>
    <w:p w14:paraId="6B612A82" w14:textId="77777777" w:rsidR="009F40EA" w:rsidRDefault="009F40EA" w:rsidP="000468FF">
      <w:pPr>
        <w:pStyle w:val="ListParagraph"/>
        <w:numPr>
          <w:ilvl w:val="0"/>
          <w:numId w:val="2"/>
        </w:numPr>
        <w:jc w:val="both"/>
      </w:pPr>
      <w:r>
        <w:t xml:space="preserve">Dedicated disabled car parking spaces </w:t>
      </w:r>
    </w:p>
    <w:p w14:paraId="09A89D83" w14:textId="77777777" w:rsidR="009F40EA" w:rsidRDefault="009F40EA" w:rsidP="000468FF">
      <w:pPr>
        <w:jc w:val="both"/>
      </w:pPr>
      <w:r>
        <w:t xml:space="preserve">They are able to, and are encouraged to attend a range of after school clubs and represent the school equally as much as their able-bodied peers. </w:t>
      </w:r>
    </w:p>
    <w:p w14:paraId="24AF6DCD" w14:textId="77777777" w:rsidR="009F40EA" w:rsidRPr="009F40EA" w:rsidRDefault="009F40EA" w:rsidP="000468FF">
      <w:pPr>
        <w:jc w:val="both"/>
        <w:rPr>
          <w:b/>
        </w:rPr>
      </w:pPr>
      <w:r w:rsidRPr="009F40EA">
        <w:rPr>
          <w:b/>
        </w:rPr>
        <w:t xml:space="preserve">Information from pupil data </w:t>
      </w:r>
    </w:p>
    <w:p w14:paraId="791428B0" w14:textId="77777777" w:rsidR="009F40EA" w:rsidRDefault="009F40EA" w:rsidP="000468FF">
      <w:pPr>
        <w:jc w:val="both"/>
      </w:pPr>
      <w:r>
        <w:t>In order to prepare for pupils’ needs we use a variety of sources to gather information about pupils, prior to their starting our school,</w:t>
      </w:r>
      <w:r w:rsidR="008A4A71">
        <w:t xml:space="preserve"> whether they start in Nursery</w:t>
      </w:r>
      <w:r>
        <w:t xml:space="preserve"> or join us later in their school life. We meet with parents, either in school or in the home, as well as liaising with other schools / settings, and with other professionals. </w:t>
      </w:r>
    </w:p>
    <w:p w14:paraId="17B42497" w14:textId="77777777" w:rsidR="009F40EA" w:rsidRPr="008A4A71" w:rsidRDefault="009F40EA" w:rsidP="000468FF">
      <w:pPr>
        <w:jc w:val="both"/>
        <w:rPr>
          <w:b/>
        </w:rPr>
      </w:pPr>
      <w:r w:rsidRPr="008A4A71">
        <w:rPr>
          <w:b/>
        </w:rPr>
        <w:t xml:space="preserve">Views of those consulted during the development of the plan </w:t>
      </w:r>
    </w:p>
    <w:p w14:paraId="74EC7CEF" w14:textId="77777777" w:rsidR="009F40EA" w:rsidRDefault="009F40EA" w:rsidP="000468FF">
      <w:pPr>
        <w:jc w:val="both"/>
      </w:pPr>
      <w:r>
        <w:t xml:space="preserve">We will consult annually with pupils, parents and staff on whole school issues. This will form part of the pupil and parental questionnaires. </w:t>
      </w:r>
    </w:p>
    <w:p w14:paraId="2F81D2FD" w14:textId="77777777" w:rsidR="009F40EA" w:rsidRDefault="009F40EA" w:rsidP="000468FF">
      <w:pPr>
        <w:jc w:val="both"/>
      </w:pPr>
      <w:r>
        <w:t xml:space="preserve">We meet parents formally each term to discuss the progress of children academically and socially. </w:t>
      </w:r>
    </w:p>
    <w:p w14:paraId="2287F89F" w14:textId="77777777" w:rsidR="009F40EA" w:rsidRDefault="009F40EA" w:rsidP="000468FF">
      <w:pPr>
        <w:jc w:val="both"/>
      </w:pPr>
      <w:r>
        <w:t xml:space="preserve">Annually, we meet parents of children with Care Plans to review the Care Plan and the associated support. We review and refine our practice accordingly. </w:t>
      </w:r>
    </w:p>
    <w:p w14:paraId="1200A9AD" w14:textId="65896C8A" w:rsidR="00A2587D" w:rsidRDefault="00A2587D" w:rsidP="000468FF">
      <w:pPr>
        <w:jc w:val="both"/>
      </w:pPr>
      <w:r>
        <w:t xml:space="preserve">We have termly open house meetings for parents to drop in and meet the HT and </w:t>
      </w:r>
      <w:proofErr w:type="spellStart"/>
      <w:r>
        <w:t>SENDco</w:t>
      </w:r>
      <w:proofErr w:type="spellEnd"/>
      <w:r>
        <w:t>.</w:t>
      </w:r>
    </w:p>
    <w:p w14:paraId="5559B4E4" w14:textId="77777777" w:rsidR="009F40EA" w:rsidRDefault="009F40EA" w:rsidP="000468FF">
      <w:pPr>
        <w:jc w:val="both"/>
      </w:pPr>
      <w:r>
        <w:t xml:space="preserve">We will consult with experts when new situations regarding pupils with disabilities are experienced. </w:t>
      </w:r>
    </w:p>
    <w:p w14:paraId="6D7D7374" w14:textId="77777777" w:rsidR="009F40EA" w:rsidRDefault="009F40EA" w:rsidP="000468FF">
      <w:pPr>
        <w:jc w:val="both"/>
      </w:pPr>
      <w:r>
        <w:t xml:space="preserve">This policy is monitored by the governing body and will be reviewed every year for 4 years, or before if necessary. It will be re-written at least every 4 years. </w:t>
      </w:r>
    </w:p>
    <w:p w14:paraId="00C3272D" w14:textId="0C1D0424" w:rsidR="009F40EA" w:rsidRDefault="009F40EA" w:rsidP="000468FF">
      <w:pPr>
        <w:jc w:val="both"/>
      </w:pPr>
      <w:r>
        <w:t>Date of Implementation: September 20</w:t>
      </w:r>
      <w:r w:rsidR="00A2587D">
        <w:t>25</w:t>
      </w:r>
      <w:r>
        <w:t xml:space="preserve"> </w:t>
      </w:r>
    </w:p>
    <w:p w14:paraId="59C28A8A" w14:textId="77777777" w:rsidR="009F40EA" w:rsidRDefault="009F40EA" w:rsidP="000468FF">
      <w:pPr>
        <w:jc w:val="both"/>
      </w:pPr>
      <w:r>
        <w:t xml:space="preserve">Review Date: Autumn 2026 </w:t>
      </w:r>
    </w:p>
    <w:p w14:paraId="1749BBE2" w14:textId="77777777" w:rsidR="009F40EA" w:rsidRDefault="009F40EA" w:rsidP="000468FF">
      <w:pPr>
        <w:jc w:val="both"/>
        <w:rPr>
          <w:rFonts w:ascii="Blackadder ITC" w:hAnsi="Blackadder ITC"/>
        </w:rPr>
      </w:pPr>
      <w:r>
        <w:t xml:space="preserve">Signed: Headteacher: </w:t>
      </w:r>
      <w:proofErr w:type="spellStart"/>
      <w:proofErr w:type="gramStart"/>
      <w:r w:rsidRPr="009F40EA">
        <w:rPr>
          <w:rFonts w:ascii="Blackadder ITC" w:hAnsi="Blackadder ITC"/>
        </w:rPr>
        <w:t>N.Padgett</w:t>
      </w:r>
      <w:proofErr w:type="spellEnd"/>
      <w:proofErr w:type="gramEnd"/>
    </w:p>
    <w:p w14:paraId="02B993B0" w14:textId="1D421533" w:rsidR="008A4A71" w:rsidRDefault="008A4A71" w:rsidP="000468FF">
      <w:pPr>
        <w:ind w:left="720" w:firstLine="720"/>
        <w:jc w:val="both"/>
      </w:pPr>
      <w:r>
        <w:rPr>
          <w:rFonts w:ascii="Blackadder ITC" w:hAnsi="Blackadder ITC"/>
        </w:rPr>
        <w:br w:type="column"/>
      </w:r>
      <w:r w:rsidR="00A2587D">
        <w:rPr>
          <w:rFonts w:cstheme="minorHAnsi"/>
        </w:rPr>
        <w:lastRenderedPageBreak/>
        <w:t>Lingfield</w:t>
      </w:r>
      <w:r w:rsidR="002A4D0F">
        <w:rPr>
          <w:rFonts w:cstheme="minorHAnsi"/>
        </w:rPr>
        <w:t xml:space="preserve"> </w:t>
      </w:r>
      <w:r w:rsidR="002A4D0F">
        <w:t>Primary School: Accessibility Plan 202</w:t>
      </w:r>
      <w:r w:rsidR="00A2587D">
        <w:t>5</w:t>
      </w:r>
      <w:r w:rsidR="002A4D0F">
        <w:t>-2</w:t>
      </w:r>
      <w:r w:rsidR="00A2587D">
        <w:t>8</w:t>
      </w:r>
      <w:r w:rsidR="002A4D0F" w:rsidRPr="002A4D0F">
        <w:rPr>
          <w:noProof/>
          <w:lang w:eastAsia="en-GB"/>
        </w:rPr>
        <w:t xml:space="preserve"> </w:t>
      </w:r>
    </w:p>
    <w:tbl>
      <w:tblPr>
        <w:tblStyle w:val="TableGrid"/>
        <w:tblW w:w="0" w:type="auto"/>
        <w:tblLook w:val="04A0" w:firstRow="1" w:lastRow="0" w:firstColumn="1" w:lastColumn="0" w:noHBand="0" w:noVBand="1"/>
      </w:tblPr>
      <w:tblGrid>
        <w:gridCol w:w="3256"/>
        <w:gridCol w:w="1275"/>
        <w:gridCol w:w="1276"/>
        <w:gridCol w:w="1276"/>
        <w:gridCol w:w="1933"/>
      </w:tblGrid>
      <w:tr w:rsidR="008A4A71" w14:paraId="17F73F33" w14:textId="77777777" w:rsidTr="002A4D0F">
        <w:tc>
          <w:tcPr>
            <w:tcW w:w="9016" w:type="dxa"/>
            <w:gridSpan w:val="5"/>
            <w:shd w:val="clear" w:color="auto" w:fill="D9E2F3" w:themeFill="accent5" w:themeFillTint="33"/>
          </w:tcPr>
          <w:p w14:paraId="24637E76" w14:textId="77777777" w:rsidR="008A4A71" w:rsidRDefault="008A4A71">
            <w:r>
              <w:t>Strand 1: Access to the curriculum</w:t>
            </w:r>
          </w:p>
        </w:tc>
      </w:tr>
      <w:tr w:rsidR="008A4A71" w14:paraId="1E47607A" w14:textId="77777777" w:rsidTr="002A4D0F">
        <w:tc>
          <w:tcPr>
            <w:tcW w:w="3256" w:type="dxa"/>
            <w:shd w:val="clear" w:color="auto" w:fill="B4C6E7" w:themeFill="accent5" w:themeFillTint="66"/>
          </w:tcPr>
          <w:p w14:paraId="03405934" w14:textId="77777777" w:rsidR="008A4A71" w:rsidRPr="008A4A71" w:rsidRDefault="008A4A71" w:rsidP="008A4A71">
            <w:pPr>
              <w:rPr>
                <w:sz w:val="16"/>
                <w:szCs w:val="16"/>
              </w:rPr>
            </w:pPr>
            <w:r w:rsidRPr="008A4A71">
              <w:rPr>
                <w:sz w:val="16"/>
                <w:szCs w:val="16"/>
              </w:rPr>
              <w:t xml:space="preserve">Action </w:t>
            </w:r>
          </w:p>
        </w:tc>
        <w:tc>
          <w:tcPr>
            <w:tcW w:w="1275" w:type="dxa"/>
            <w:shd w:val="clear" w:color="auto" w:fill="B4C6E7" w:themeFill="accent5" w:themeFillTint="66"/>
          </w:tcPr>
          <w:p w14:paraId="56AAD2EA" w14:textId="77777777" w:rsidR="008A4A71" w:rsidRPr="008A4A71" w:rsidRDefault="008A4A71" w:rsidP="007E5B1C">
            <w:pPr>
              <w:jc w:val="center"/>
              <w:rPr>
                <w:sz w:val="16"/>
                <w:szCs w:val="16"/>
              </w:rPr>
            </w:pPr>
            <w:r w:rsidRPr="008A4A71">
              <w:rPr>
                <w:sz w:val="16"/>
                <w:szCs w:val="16"/>
              </w:rPr>
              <w:t>Team(s)/ Individual</w:t>
            </w:r>
            <w:r w:rsidR="007E5B1C" w:rsidRPr="008A4A71">
              <w:rPr>
                <w:sz w:val="16"/>
                <w:szCs w:val="16"/>
              </w:rPr>
              <w:t xml:space="preserve"> Responsible</w:t>
            </w:r>
          </w:p>
        </w:tc>
        <w:tc>
          <w:tcPr>
            <w:tcW w:w="1276" w:type="dxa"/>
            <w:shd w:val="clear" w:color="auto" w:fill="B4C6E7" w:themeFill="accent5" w:themeFillTint="66"/>
          </w:tcPr>
          <w:p w14:paraId="726A4F99" w14:textId="77777777" w:rsidR="008A4A71" w:rsidRPr="008A4A71" w:rsidRDefault="007E5B1C" w:rsidP="007E5B1C">
            <w:pPr>
              <w:jc w:val="center"/>
              <w:rPr>
                <w:sz w:val="16"/>
                <w:szCs w:val="16"/>
              </w:rPr>
            </w:pPr>
            <w:r w:rsidRPr="008A4A71">
              <w:rPr>
                <w:sz w:val="16"/>
                <w:szCs w:val="16"/>
              </w:rPr>
              <w:t>Timescale</w:t>
            </w:r>
          </w:p>
        </w:tc>
        <w:tc>
          <w:tcPr>
            <w:tcW w:w="1276" w:type="dxa"/>
            <w:shd w:val="clear" w:color="auto" w:fill="B4C6E7" w:themeFill="accent5" w:themeFillTint="66"/>
          </w:tcPr>
          <w:p w14:paraId="737C8356" w14:textId="77777777" w:rsidR="008A4A71" w:rsidRPr="008A4A71" w:rsidRDefault="007E5B1C" w:rsidP="007E5B1C">
            <w:pPr>
              <w:jc w:val="center"/>
              <w:rPr>
                <w:sz w:val="16"/>
                <w:szCs w:val="16"/>
              </w:rPr>
            </w:pPr>
            <w:r w:rsidRPr="008A4A71">
              <w:rPr>
                <w:sz w:val="16"/>
                <w:szCs w:val="16"/>
              </w:rPr>
              <w:t>Monitoring</w:t>
            </w:r>
          </w:p>
        </w:tc>
        <w:tc>
          <w:tcPr>
            <w:tcW w:w="1933" w:type="dxa"/>
            <w:shd w:val="clear" w:color="auto" w:fill="B4C6E7" w:themeFill="accent5" w:themeFillTint="66"/>
          </w:tcPr>
          <w:p w14:paraId="0AC763AB" w14:textId="77777777" w:rsidR="008A4A71" w:rsidRPr="008A4A71" w:rsidRDefault="008A4A71" w:rsidP="007E5B1C">
            <w:pPr>
              <w:jc w:val="center"/>
              <w:rPr>
                <w:sz w:val="16"/>
                <w:szCs w:val="16"/>
              </w:rPr>
            </w:pPr>
            <w:r w:rsidRPr="008A4A71">
              <w:rPr>
                <w:sz w:val="16"/>
                <w:szCs w:val="16"/>
              </w:rPr>
              <w:t>Outcomes</w:t>
            </w:r>
          </w:p>
        </w:tc>
      </w:tr>
      <w:tr w:rsidR="008A4A71" w14:paraId="1E8DCE4A" w14:textId="77777777" w:rsidTr="002A4D0F">
        <w:tc>
          <w:tcPr>
            <w:tcW w:w="3256" w:type="dxa"/>
          </w:tcPr>
          <w:p w14:paraId="334CFB7E" w14:textId="77777777" w:rsidR="008A4A71" w:rsidRPr="008A4A71" w:rsidRDefault="008A4A71">
            <w:pPr>
              <w:rPr>
                <w:sz w:val="16"/>
                <w:szCs w:val="16"/>
              </w:rPr>
            </w:pPr>
            <w:r w:rsidRPr="008A4A71">
              <w:rPr>
                <w:sz w:val="16"/>
                <w:szCs w:val="16"/>
              </w:rPr>
              <w:t>Make reasonable adjustments to ensure maximum participation in the curriculum for all children with disabilities. Review individual disabilities within classes and adjust aspects of the curriculum to ensure learners with disabilities are able to participate- begin to use SEND Ranges paperwork to support this</w:t>
            </w:r>
          </w:p>
        </w:tc>
        <w:tc>
          <w:tcPr>
            <w:tcW w:w="1275" w:type="dxa"/>
          </w:tcPr>
          <w:p w14:paraId="2B58DC14" w14:textId="77777777" w:rsidR="008A4A71" w:rsidRPr="008A4A71" w:rsidRDefault="007E5B1C">
            <w:pPr>
              <w:rPr>
                <w:sz w:val="16"/>
                <w:szCs w:val="16"/>
              </w:rPr>
            </w:pPr>
            <w:r>
              <w:rPr>
                <w:sz w:val="16"/>
                <w:szCs w:val="16"/>
              </w:rPr>
              <w:t>Class teachers and TAs</w:t>
            </w:r>
          </w:p>
        </w:tc>
        <w:tc>
          <w:tcPr>
            <w:tcW w:w="1276" w:type="dxa"/>
          </w:tcPr>
          <w:p w14:paraId="0AFFB3CD" w14:textId="77777777" w:rsidR="008A4A71" w:rsidRPr="008A4A71" w:rsidRDefault="007E5B1C">
            <w:pPr>
              <w:rPr>
                <w:sz w:val="16"/>
                <w:szCs w:val="16"/>
              </w:rPr>
            </w:pPr>
            <w:r>
              <w:rPr>
                <w:sz w:val="16"/>
                <w:szCs w:val="16"/>
              </w:rPr>
              <w:t>End of the academic year each year</w:t>
            </w:r>
          </w:p>
        </w:tc>
        <w:tc>
          <w:tcPr>
            <w:tcW w:w="1276" w:type="dxa"/>
          </w:tcPr>
          <w:p w14:paraId="0EA16C5C" w14:textId="77777777" w:rsidR="008A4A71" w:rsidRPr="008A4A71" w:rsidRDefault="007E5B1C">
            <w:pPr>
              <w:rPr>
                <w:sz w:val="16"/>
                <w:szCs w:val="16"/>
              </w:rPr>
            </w:pPr>
            <w:r>
              <w:rPr>
                <w:sz w:val="16"/>
                <w:szCs w:val="16"/>
              </w:rPr>
              <w:t>HT/</w:t>
            </w:r>
            <w:proofErr w:type="spellStart"/>
            <w:r>
              <w:rPr>
                <w:sz w:val="16"/>
                <w:szCs w:val="16"/>
              </w:rPr>
              <w:t>SENDco</w:t>
            </w:r>
            <w:proofErr w:type="spellEnd"/>
          </w:p>
        </w:tc>
        <w:tc>
          <w:tcPr>
            <w:tcW w:w="1933" w:type="dxa"/>
          </w:tcPr>
          <w:p w14:paraId="61C6B154" w14:textId="77777777" w:rsidR="008A4A71" w:rsidRPr="008A4A71" w:rsidRDefault="008A4A71">
            <w:pPr>
              <w:rPr>
                <w:sz w:val="16"/>
                <w:szCs w:val="16"/>
              </w:rPr>
            </w:pPr>
            <w:r w:rsidRPr="008A4A71">
              <w:rPr>
                <w:sz w:val="16"/>
                <w:szCs w:val="16"/>
              </w:rPr>
              <w:t>Children with disabilities are able to participate fully in all aspects of the curriculum.</w:t>
            </w:r>
          </w:p>
        </w:tc>
      </w:tr>
      <w:tr w:rsidR="008A4A71" w14:paraId="423BBF71" w14:textId="77777777" w:rsidTr="002A4D0F">
        <w:tc>
          <w:tcPr>
            <w:tcW w:w="3256" w:type="dxa"/>
          </w:tcPr>
          <w:p w14:paraId="412FC081" w14:textId="77777777" w:rsidR="008A4A71" w:rsidRPr="008A4A71" w:rsidRDefault="008A4A71">
            <w:pPr>
              <w:rPr>
                <w:sz w:val="16"/>
                <w:szCs w:val="16"/>
              </w:rPr>
            </w:pPr>
            <w:r w:rsidRPr="008A4A71">
              <w:rPr>
                <w:sz w:val="16"/>
                <w:szCs w:val="16"/>
              </w:rPr>
              <w:t>Ensure appropriate specialist equipment is available to support children with disabilities. Review EHCP plans and reports from professionals to check what is needed.</w:t>
            </w:r>
          </w:p>
        </w:tc>
        <w:tc>
          <w:tcPr>
            <w:tcW w:w="1275" w:type="dxa"/>
          </w:tcPr>
          <w:p w14:paraId="5FF8E39C" w14:textId="77777777" w:rsidR="008A4A71" w:rsidRDefault="007E5B1C">
            <w:pPr>
              <w:rPr>
                <w:sz w:val="16"/>
                <w:szCs w:val="16"/>
              </w:rPr>
            </w:pPr>
            <w:proofErr w:type="spellStart"/>
            <w:r>
              <w:rPr>
                <w:sz w:val="16"/>
                <w:szCs w:val="16"/>
              </w:rPr>
              <w:t>SENDco</w:t>
            </w:r>
            <w:proofErr w:type="spellEnd"/>
          </w:p>
          <w:p w14:paraId="6A40D433" w14:textId="77777777" w:rsidR="007E5B1C" w:rsidRPr="008A4A71" w:rsidRDefault="007E5B1C">
            <w:pPr>
              <w:rPr>
                <w:sz w:val="16"/>
                <w:szCs w:val="16"/>
              </w:rPr>
            </w:pPr>
            <w:r>
              <w:rPr>
                <w:sz w:val="16"/>
                <w:szCs w:val="16"/>
              </w:rPr>
              <w:t>HT</w:t>
            </w:r>
          </w:p>
        </w:tc>
        <w:tc>
          <w:tcPr>
            <w:tcW w:w="1276" w:type="dxa"/>
          </w:tcPr>
          <w:p w14:paraId="5419A462" w14:textId="77777777" w:rsidR="008A4A71" w:rsidRPr="00F67158" w:rsidRDefault="00F67158">
            <w:pPr>
              <w:rPr>
                <w:sz w:val="16"/>
                <w:szCs w:val="16"/>
              </w:rPr>
            </w:pPr>
            <w:r w:rsidRPr="00F67158">
              <w:rPr>
                <w:sz w:val="16"/>
                <w:szCs w:val="16"/>
              </w:rPr>
              <w:t>As children with EHCP needs join the school. SEND budget – allocated each September</w:t>
            </w:r>
          </w:p>
        </w:tc>
        <w:tc>
          <w:tcPr>
            <w:tcW w:w="1276" w:type="dxa"/>
          </w:tcPr>
          <w:p w14:paraId="76C4271A" w14:textId="77777777" w:rsidR="007E5B1C" w:rsidRDefault="007E5B1C">
            <w:pPr>
              <w:rPr>
                <w:sz w:val="16"/>
                <w:szCs w:val="16"/>
              </w:rPr>
            </w:pPr>
            <w:proofErr w:type="spellStart"/>
            <w:r>
              <w:rPr>
                <w:sz w:val="16"/>
                <w:szCs w:val="16"/>
              </w:rPr>
              <w:t>SENco</w:t>
            </w:r>
            <w:proofErr w:type="spellEnd"/>
          </w:p>
          <w:p w14:paraId="5E1D190A" w14:textId="77777777" w:rsidR="007E5B1C" w:rsidRDefault="007E5B1C">
            <w:pPr>
              <w:rPr>
                <w:sz w:val="16"/>
                <w:szCs w:val="16"/>
              </w:rPr>
            </w:pPr>
            <w:r>
              <w:rPr>
                <w:sz w:val="16"/>
                <w:szCs w:val="16"/>
              </w:rPr>
              <w:t>Parents</w:t>
            </w:r>
          </w:p>
          <w:p w14:paraId="1D567392" w14:textId="77777777" w:rsidR="007E5B1C" w:rsidRPr="008A4A71" w:rsidRDefault="007E5B1C">
            <w:pPr>
              <w:rPr>
                <w:sz w:val="16"/>
                <w:szCs w:val="16"/>
              </w:rPr>
            </w:pPr>
            <w:r>
              <w:rPr>
                <w:sz w:val="16"/>
                <w:szCs w:val="16"/>
              </w:rPr>
              <w:t>Professionals involved with the individual</w:t>
            </w:r>
          </w:p>
        </w:tc>
        <w:tc>
          <w:tcPr>
            <w:tcW w:w="1933" w:type="dxa"/>
          </w:tcPr>
          <w:p w14:paraId="189C60D6" w14:textId="77777777" w:rsidR="008A4A71" w:rsidRPr="008A4A71" w:rsidRDefault="008A4A71">
            <w:pPr>
              <w:rPr>
                <w:sz w:val="16"/>
                <w:szCs w:val="16"/>
              </w:rPr>
            </w:pPr>
            <w:r w:rsidRPr="008A4A71">
              <w:rPr>
                <w:sz w:val="16"/>
                <w:szCs w:val="16"/>
              </w:rPr>
              <w:t>Children with disabilities are well supported.</w:t>
            </w:r>
          </w:p>
        </w:tc>
      </w:tr>
      <w:tr w:rsidR="000468FF" w14:paraId="58139CE2" w14:textId="77777777" w:rsidTr="002A4D0F">
        <w:tc>
          <w:tcPr>
            <w:tcW w:w="3256" w:type="dxa"/>
          </w:tcPr>
          <w:p w14:paraId="092C39C1" w14:textId="77777777" w:rsidR="000468FF" w:rsidRPr="008A4A71" w:rsidRDefault="000468FF">
            <w:pPr>
              <w:rPr>
                <w:sz w:val="16"/>
                <w:szCs w:val="16"/>
              </w:rPr>
            </w:pPr>
            <w:r>
              <w:rPr>
                <w:sz w:val="16"/>
                <w:szCs w:val="16"/>
              </w:rPr>
              <w:t xml:space="preserve">Assemblies are used to teach children about the importance of inclusivity </w:t>
            </w:r>
          </w:p>
        </w:tc>
        <w:tc>
          <w:tcPr>
            <w:tcW w:w="1275" w:type="dxa"/>
          </w:tcPr>
          <w:p w14:paraId="00B06394" w14:textId="77777777" w:rsidR="000468FF" w:rsidRDefault="000468FF">
            <w:pPr>
              <w:rPr>
                <w:sz w:val="16"/>
                <w:szCs w:val="16"/>
              </w:rPr>
            </w:pPr>
            <w:r>
              <w:rPr>
                <w:sz w:val="16"/>
                <w:szCs w:val="16"/>
              </w:rPr>
              <w:t>HT</w:t>
            </w:r>
          </w:p>
        </w:tc>
        <w:tc>
          <w:tcPr>
            <w:tcW w:w="1276" w:type="dxa"/>
          </w:tcPr>
          <w:p w14:paraId="09E8DCAA" w14:textId="77777777" w:rsidR="000468FF" w:rsidRPr="00F67158" w:rsidRDefault="000468FF">
            <w:pPr>
              <w:rPr>
                <w:sz w:val="16"/>
                <w:szCs w:val="16"/>
              </w:rPr>
            </w:pPr>
            <w:r>
              <w:rPr>
                <w:sz w:val="16"/>
                <w:szCs w:val="16"/>
              </w:rPr>
              <w:t>Ongoing all year – see assembly plan</w:t>
            </w:r>
          </w:p>
        </w:tc>
        <w:tc>
          <w:tcPr>
            <w:tcW w:w="1276" w:type="dxa"/>
          </w:tcPr>
          <w:p w14:paraId="45662C91" w14:textId="77777777" w:rsidR="000468FF" w:rsidRDefault="000468FF">
            <w:pPr>
              <w:rPr>
                <w:sz w:val="16"/>
                <w:szCs w:val="16"/>
              </w:rPr>
            </w:pPr>
            <w:r>
              <w:rPr>
                <w:sz w:val="16"/>
                <w:szCs w:val="16"/>
              </w:rPr>
              <w:t>SLT</w:t>
            </w:r>
          </w:p>
        </w:tc>
        <w:tc>
          <w:tcPr>
            <w:tcW w:w="1933" w:type="dxa"/>
          </w:tcPr>
          <w:p w14:paraId="7BC88E9A" w14:textId="77777777" w:rsidR="000468FF" w:rsidRPr="008A4A71" w:rsidRDefault="000468FF">
            <w:pPr>
              <w:rPr>
                <w:sz w:val="16"/>
                <w:szCs w:val="16"/>
              </w:rPr>
            </w:pPr>
            <w:r>
              <w:rPr>
                <w:sz w:val="16"/>
                <w:szCs w:val="16"/>
              </w:rPr>
              <w:t>Children will have a greater awareness of the importance of including all.</w:t>
            </w:r>
          </w:p>
        </w:tc>
      </w:tr>
      <w:tr w:rsidR="008A4A71" w14:paraId="53759A52" w14:textId="77777777" w:rsidTr="002A4D0F">
        <w:tc>
          <w:tcPr>
            <w:tcW w:w="3256" w:type="dxa"/>
          </w:tcPr>
          <w:p w14:paraId="03767C85" w14:textId="77777777" w:rsidR="008A4A71" w:rsidRPr="008A4A71" w:rsidRDefault="008A4A71">
            <w:pPr>
              <w:rPr>
                <w:sz w:val="16"/>
                <w:szCs w:val="16"/>
              </w:rPr>
            </w:pPr>
            <w:r w:rsidRPr="008A4A71">
              <w:rPr>
                <w:sz w:val="16"/>
                <w:szCs w:val="16"/>
              </w:rPr>
              <w:t>When planning the National Curriculum ensure that consideration is given to children with disabilities. Review Learning Contexts, English and maths (planning and activities)</w:t>
            </w:r>
          </w:p>
        </w:tc>
        <w:tc>
          <w:tcPr>
            <w:tcW w:w="1275" w:type="dxa"/>
          </w:tcPr>
          <w:p w14:paraId="7393BBCD" w14:textId="77777777" w:rsidR="007E5B1C" w:rsidRPr="008A4A71" w:rsidRDefault="007E5B1C">
            <w:pPr>
              <w:rPr>
                <w:sz w:val="16"/>
                <w:szCs w:val="16"/>
              </w:rPr>
            </w:pPr>
            <w:r>
              <w:rPr>
                <w:sz w:val="16"/>
                <w:szCs w:val="16"/>
              </w:rPr>
              <w:t>Class Teachers</w:t>
            </w:r>
          </w:p>
        </w:tc>
        <w:tc>
          <w:tcPr>
            <w:tcW w:w="1276" w:type="dxa"/>
          </w:tcPr>
          <w:p w14:paraId="05989E3D" w14:textId="77777777" w:rsidR="008A4A71" w:rsidRPr="00F67158" w:rsidRDefault="00F67158">
            <w:pPr>
              <w:rPr>
                <w:sz w:val="16"/>
                <w:szCs w:val="16"/>
              </w:rPr>
            </w:pPr>
            <w:r w:rsidRPr="00F67158">
              <w:rPr>
                <w:sz w:val="16"/>
                <w:szCs w:val="16"/>
              </w:rPr>
              <w:t>Ongoing review from then on</w:t>
            </w:r>
          </w:p>
        </w:tc>
        <w:tc>
          <w:tcPr>
            <w:tcW w:w="1276" w:type="dxa"/>
          </w:tcPr>
          <w:p w14:paraId="4AFB39E4" w14:textId="77777777" w:rsidR="008A4A71" w:rsidRPr="008A4A71" w:rsidRDefault="007E5B1C">
            <w:pPr>
              <w:rPr>
                <w:sz w:val="16"/>
                <w:szCs w:val="16"/>
              </w:rPr>
            </w:pPr>
            <w:r>
              <w:rPr>
                <w:sz w:val="16"/>
                <w:szCs w:val="16"/>
              </w:rPr>
              <w:t>SLT</w:t>
            </w:r>
          </w:p>
        </w:tc>
        <w:tc>
          <w:tcPr>
            <w:tcW w:w="1933" w:type="dxa"/>
          </w:tcPr>
          <w:p w14:paraId="22E8AE5B" w14:textId="77777777" w:rsidR="008A4A71" w:rsidRPr="008A4A71" w:rsidRDefault="008A4A71">
            <w:pPr>
              <w:rPr>
                <w:sz w:val="16"/>
                <w:szCs w:val="16"/>
              </w:rPr>
            </w:pPr>
            <w:r w:rsidRPr="008A4A71">
              <w:rPr>
                <w:sz w:val="16"/>
                <w:szCs w:val="16"/>
              </w:rPr>
              <w:t>Disabled learners learn effectively and make good progress in all curriculum areas.</w:t>
            </w:r>
          </w:p>
        </w:tc>
      </w:tr>
      <w:tr w:rsidR="008A4A71" w14:paraId="0FFDBD07" w14:textId="77777777" w:rsidTr="002A4D0F">
        <w:tc>
          <w:tcPr>
            <w:tcW w:w="3256" w:type="dxa"/>
          </w:tcPr>
          <w:p w14:paraId="61AE1DA5" w14:textId="77777777" w:rsidR="007E5B1C" w:rsidRDefault="007E5B1C">
            <w:pPr>
              <w:rPr>
                <w:sz w:val="16"/>
                <w:szCs w:val="16"/>
              </w:rPr>
            </w:pPr>
            <w:r>
              <w:rPr>
                <w:sz w:val="16"/>
                <w:szCs w:val="16"/>
              </w:rPr>
              <w:t>W</w:t>
            </w:r>
            <w:r w:rsidR="008A4A71" w:rsidRPr="008A4A71">
              <w:rPr>
                <w:sz w:val="16"/>
                <w:szCs w:val="16"/>
              </w:rPr>
              <w:t xml:space="preserve">hen reviewing curriculum resources consider the needs of disabled learners to ensure accessibility to the curriculum. </w:t>
            </w:r>
          </w:p>
          <w:p w14:paraId="6FB42552" w14:textId="77777777" w:rsidR="008A4A71" w:rsidRPr="008A4A71" w:rsidRDefault="008A4A71">
            <w:pPr>
              <w:rPr>
                <w:sz w:val="16"/>
                <w:szCs w:val="16"/>
              </w:rPr>
            </w:pPr>
            <w:r w:rsidRPr="008A4A71">
              <w:rPr>
                <w:sz w:val="16"/>
                <w:szCs w:val="16"/>
              </w:rPr>
              <w:t>Ensure the disabled community are represented within teaching resources.</w:t>
            </w:r>
          </w:p>
        </w:tc>
        <w:tc>
          <w:tcPr>
            <w:tcW w:w="1275" w:type="dxa"/>
          </w:tcPr>
          <w:p w14:paraId="6D08A795" w14:textId="77777777" w:rsidR="008A4A71" w:rsidRPr="008A4A71" w:rsidRDefault="007E5B1C">
            <w:pPr>
              <w:rPr>
                <w:sz w:val="16"/>
                <w:szCs w:val="16"/>
              </w:rPr>
            </w:pPr>
            <w:r>
              <w:rPr>
                <w:sz w:val="16"/>
                <w:szCs w:val="16"/>
              </w:rPr>
              <w:t>Class Teacher</w:t>
            </w:r>
          </w:p>
        </w:tc>
        <w:tc>
          <w:tcPr>
            <w:tcW w:w="1276" w:type="dxa"/>
          </w:tcPr>
          <w:p w14:paraId="0011F572" w14:textId="77777777" w:rsidR="008A4A71" w:rsidRPr="00F67158" w:rsidRDefault="00F67158">
            <w:pPr>
              <w:rPr>
                <w:sz w:val="16"/>
                <w:szCs w:val="16"/>
              </w:rPr>
            </w:pPr>
            <w:r w:rsidRPr="00F67158">
              <w:rPr>
                <w:sz w:val="16"/>
                <w:szCs w:val="16"/>
              </w:rPr>
              <w:t>Annually – by February Half Term each year.</w:t>
            </w:r>
          </w:p>
        </w:tc>
        <w:tc>
          <w:tcPr>
            <w:tcW w:w="1276" w:type="dxa"/>
          </w:tcPr>
          <w:p w14:paraId="4C01C2B2" w14:textId="77777777" w:rsidR="008A4A71" w:rsidRPr="008A4A71" w:rsidRDefault="008A4A71">
            <w:pPr>
              <w:rPr>
                <w:sz w:val="16"/>
                <w:szCs w:val="16"/>
              </w:rPr>
            </w:pPr>
          </w:p>
        </w:tc>
        <w:tc>
          <w:tcPr>
            <w:tcW w:w="1933" w:type="dxa"/>
          </w:tcPr>
          <w:p w14:paraId="7A970DEA" w14:textId="77777777" w:rsidR="008A4A71" w:rsidRPr="008A4A71" w:rsidRDefault="008A4A71">
            <w:pPr>
              <w:rPr>
                <w:sz w:val="16"/>
                <w:szCs w:val="16"/>
              </w:rPr>
            </w:pPr>
            <w:r w:rsidRPr="008A4A71">
              <w:rPr>
                <w:sz w:val="16"/>
                <w:szCs w:val="16"/>
              </w:rPr>
              <w:t>Class teacher have appropriate resources to meet the learning needs of disabled learners and, as a result, disabled learners make good progress.</w:t>
            </w:r>
          </w:p>
        </w:tc>
      </w:tr>
      <w:tr w:rsidR="008A4A71" w14:paraId="0141F0A3" w14:textId="77777777" w:rsidTr="002A4D0F">
        <w:tc>
          <w:tcPr>
            <w:tcW w:w="3256" w:type="dxa"/>
          </w:tcPr>
          <w:p w14:paraId="14496221" w14:textId="77777777" w:rsidR="008A4A71" w:rsidRPr="008A4A71" w:rsidRDefault="008A4A71">
            <w:pPr>
              <w:rPr>
                <w:sz w:val="16"/>
                <w:szCs w:val="16"/>
              </w:rPr>
            </w:pPr>
            <w:r w:rsidRPr="008A4A71">
              <w:rPr>
                <w:sz w:val="16"/>
                <w:szCs w:val="16"/>
              </w:rPr>
              <w:t xml:space="preserve">When planning educational visits and experiences ensure that the needs of children with disabilities are </w:t>
            </w:r>
            <w:proofErr w:type="gramStart"/>
            <w:r w:rsidRPr="008A4A71">
              <w:rPr>
                <w:sz w:val="16"/>
                <w:szCs w:val="16"/>
              </w:rPr>
              <w:t>taken into account</w:t>
            </w:r>
            <w:proofErr w:type="gramEnd"/>
            <w:r w:rsidRPr="008A4A71">
              <w:rPr>
                <w:sz w:val="16"/>
                <w:szCs w:val="16"/>
              </w:rPr>
              <w:t>.</w:t>
            </w:r>
          </w:p>
        </w:tc>
        <w:tc>
          <w:tcPr>
            <w:tcW w:w="1275" w:type="dxa"/>
          </w:tcPr>
          <w:p w14:paraId="5E464262" w14:textId="77777777" w:rsidR="008A4A71" w:rsidRDefault="007E5B1C">
            <w:pPr>
              <w:rPr>
                <w:sz w:val="16"/>
                <w:szCs w:val="16"/>
              </w:rPr>
            </w:pPr>
            <w:r>
              <w:rPr>
                <w:sz w:val="16"/>
                <w:szCs w:val="16"/>
              </w:rPr>
              <w:t>Subject leads</w:t>
            </w:r>
          </w:p>
          <w:p w14:paraId="486DA4DC" w14:textId="77777777" w:rsidR="007E5B1C" w:rsidRPr="008A4A71" w:rsidRDefault="007E5B1C">
            <w:pPr>
              <w:rPr>
                <w:sz w:val="16"/>
                <w:szCs w:val="16"/>
              </w:rPr>
            </w:pPr>
            <w:r>
              <w:rPr>
                <w:sz w:val="16"/>
                <w:szCs w:val="16"/>
              </w:rPr>
              <w:t>Class Teacher</w:t>
            </w:r>
          </w:p>
        </w:tc>
        <w:tc>
          <w:tcPr>
            <w:tcW w:w="1276" w:type="dxa"/>
          </w:tcPr>
          <w:p w14:paraId="315A5E0B" w14:textId="77777777" w:rsidR="008A4A71" w:rsidRPr="008A4A71" w:rsidRDefault="00F67158">
            <w:pPr>
              <w:rPr>
                <w:sz w:val="16"/>
                <w:szCs w:val="16"/>
              </w:rPr>
            </w:pPr>
            <w:r>
              <w:rPr>
                <w:sz w:val="16"/>
                <w:szCs w:val="16"/>
              </w:rPr>
              <w:t>ongoing</w:t>
            </w:r>
          </w:p>
        </w:tc>
        <w:tc>
          <w:tcPr>
            <w:tcW w:w="1276" w:type="dxa"/>
          </w:tcPr>
          <w:p w14:paraId="72D6A8D4" w14:textId="77777777" w:rsidR="008A4A71" w:rsidRDefault="007E5B1C">
            <w:pPr>
              <w:rPr>
                <w:sz w:val="16"/>
                <w:szCs w:val="16"/>
              </w:rPr>
            </w:pPr>
            <w:r>
              <w:rPr>
                <w:sz w:val="16"/>
                <w:szCs w:val="16"/>
              </w:rPr>
              <w:t>Educational Visits lead</w:t>
            </w:r>
          </w:p>
          <w:p w14:paraId="3017CF3E" w14:textId="77777777" w:rsidR="007E5B1C" w:rsidRPr="008A4A71" w:rsidRDefault="007E5B1C">
            <w:pPr>
              <w:rPr>
                <w:sz w:val="16"/>
                <w:szCs w:val="16"/>
              </w:rPr>
            </w:pPr>
            <w:r>
              <w:rPr>
                <w:sz w:val="16"/>
                <w:szCs w:val="16"/>
              </w:rPr>
              <w:t>HT</w:t>
            </w:r>
          </w:p>
        </w:tc>
        <w:tc>
          <w:tcPr>
            <w:tcW w:w="1933" w:type="dxa"/>
          </w:tcPr>
          <w:p w14:paraId="1C764BAD" w14:textId="77777777" w:rsidR="008A4A71" w:rsidRPr="008A4A71" w:rsidRDefault="008A4A71">
            <w:pPr>
              <w:rPr>
                <w:sz w:val="16"/>
                <w:szCs w:val="16"/>
              </w:rPr>
            </w:pPr>
            <w:r w:rsidRPr="008A4A71">
              <w:rPr>
                <w:sz w:val="16"/>
                <w:szCs w:val="16"/>
              </w:rPr>
              <w:t>Children with disabilities access a range of educational visits and experiences.</w:t>
            </w:r>
          </w:p>
        </w:tc>
      </w:tr>
      <w:tr w:rsidR="007E5B1C" w14:paraId="6E07E868" w14:textId="77777777" w:rsidTr="002A4D0F">
        <w:tc>
          <w:tcPr>
            <w:tcW w:w="3256" w:type="dxa"/>
          </w:tcPr>
          <w:p w14:paraId="59B946F3" w14:textId="4DEBCDD1" w:rsidR="007E5B1C" w:rsidRPr="008A4A71" w:rsidRDefault="007E5B1C">
            <w:pPr>
              <w:rPr>
                <w:sz w:val="16"/>
                <w:szCs w:val="16"/>
              </w:rPr>
            </w:pPr>
            <w:r>
              <w:rPr>
                <w:sz w:val="16"/>
                <w:szCs w:val="16"/>
              </w:rPr>
              <w:t xml:space="preserve">When planning after school clubs and holiday clubs with alternative provisions for children at </w:t>
            </w:r>
            <w:r w:rsidR="00A2587D">
              <w:rPr>
                <w:sz w:val="16"/>
                <w:szCs w:val="16"/>
              </w:rPr>
              <w:t>Lingfield</w:t>
            </w:r>
            <w:r>
              <w:rPr>
                <w:sz w:val="16"/>
                <w:szCs w:val="16"/>
              </w:rPr>
              <w:t xml:space="preserve"> ensure that the needs of children with disabilities are </w:t>
            </w:r>
            <w:proofErr w:type="gramStart"/>
            <w:r>
              <w:rPr>
                <w:sz w:val="16"/>
                <w:szCs w:val="16"/>
              </w:rPr>
              <w:t>taken into account</w:t>
            </w:r>
            <w:proofErr w:type="gramEnd"/>
            <w:r>
              <w:rPr>
                <w:sz w:val="16"/>
                <w:szCs w:val="16"/>
              </w:rPr>
              <w:t>.</w:t>
            </w:r>
          </w:p>
        </w:tc>
        <w:tc>
          <w:tcPr>
            <w:tcW w:w="1275" w:type="dxa"/>
          </w:tcPr>
          <w:p w14:paraId="33E3B8CA" w14:textId="77777777" w:rsidR="007E5B1C" w:rsidRPr="008A4A71" w:rsidRDefault="007E5B1C">
            <w:pPr>
              <w:rPr>
                <w:sz w:val="16"/>
                <w:szCs w:val="16"/>
              </w:rPr>
            </w:pPr>
            <w:r>
              <w:rPr>
                <w:sz w:val="16"/>
                <w:szCs w:val="16"/>
              </w:rPr>
              <w:t>Club Lead</w:t>
            </w:r>
          </w:p>
        </w:tc>
        <w:tc>
          <w:tcPr>
            <w:tcW w:w="1276" w:type="dxa"/>
          </w:tcPr>
          <w:p w14:paraId="4234DA86" w14:textId="77777777" w:rsidR="007E5B1C" w:rsidRPr="008A4A71" w:rsidRDefault="00F67158">
            <w:pPr>
              <w:rPr>
                <w:sz w:val="16"/>
                <w:szCs w:val="16"/>
              </w:rPr>
            </w:pPr>
            <w:r>
              <w:rPr>
                <w:sz w:val="16"/>
                <w:szCs w:val="16"/>
              </w:rPr>
              <w:t>ongoing</w:t>
            </w:r>
          </w:p>
        </w:tc>
        <w:tc>
          <w:tcPr>
            <w:tcW w:w="1276" w:type="dxa"/>
          </w:tcPr>
          <w:p w14:paraId="00B028EA" w14:textId="77777777" w:rsidR="007E5B1C" w:rsidRDefault="007E5B1C">
            <w:pPr>
              <w:rPr>
                <w:sz w:val="16"/>
                <w:szCs w:val="16"/>
              </w:rPr>
            </w:pPr>
            <w:r>
              <w:rPr>
                <w:sz w:val="16"/>
                <w:szCs w:val="16"/>
              </w:rPr>
              <w:t>HT</w:t>
            </w:r>
          </w:p>
          <w:p w14:paraId="011E5182" w14:textId="77777777" w:rsidR="007E5B1C" w:rsidRPr="008A4A71" w:rsidRDefault="007E5B1C">
            <w:pPr>
              <w:rPr>
                <w:sz w:val="16"/>
                <w:szCs w:val="16"/>
              </w:rPr>
            </w:pPr>
            <w:r>
              <w:rPr>
                <w:sz w:val="16"/>
                <w:szCs w:val="16"/>
              </w:rPr>
              <w:t>Club Lead</w:t>
            </w:r>
          </w:p>
        </w:tc>
        <w:tc>
          <w:tcPr>
            <w:tcW w:w="1933" w:type="dxa"/>
          </w:tcPr>
          <w:p w14:paraId="03299A0F" w14:textId="77777777" w:rsidR="007E5B1C" w:rsidRPr="008A4A71" w:rsidRDefault="007E5B1C">
            <w:pPr>
              <w:rPr>
                <w:sz w:val="16"/>
                <w:szCs w:val="16"/>
              </w:rPr>
            </w:pPr>
            <w:r w:rsidRPr="008A4A71">
              <w:rPr>
                <w:sz w:val="16"/>
                <w:szCs w:val="16"/>
              </w:rPr>
              <w:t>Children with disabilities access a range of educational visits and experiences.</w:t>
            </w:r>
          </w:p>
        </w:tc>
      </w:tr>
      <w:tr w:rsidR="008A4A71" w14:paraId="795E0A46" w14:textId="77777777" w:rsidTr="002A4D0F">
        <w:tc>
          <w:tcPr>
            <w:tcW w:w="3256" w:type="dxa"/>
          </w:tcPr>
          <w:p w14:paraId="406BBCC3" w14:textId="77777777" w:rsidR="008A4A71" w:rsidRPr="008A4A71" w:rsidRDefault="008A4A71">
            <w:pPr>
              <w:rPr>
                <w:sz w:val="16"/>
                <w:szCs w:val="16"/>
              </w:rPr>
            </w:pPr>
            <w:r w:rsidRPr="008A4A71">
              <w:rPr>
                <w:sz w:val="16"/>
                <w:szCs w:val="16"/>
              </w:rPr>
              <w:t>Ensure that staff are appropriately trained in meeting the needs of children with disabilities</w:t>
            </w:r>
            <w:r w:rsidR="007E5B1C">
              <w:rPr>
                <w:sz w:val="16"/>
                <w:szCs w:val="16"/>
              </w:rPr>
              <w:t xml:space="preserve"> through audits and training.</w:t>
            </w:r>
          </w:p>
        </w:tc>
        <w:tc>
          <w:tcPr>
            <w:tcW w:w="1275" w:type="dxa"/>
          </w:tcPr>
          <w:p w14:paraId="003563A1" w14:textId="77777777" w:rsidR="008A4A71" w:rsidRPr="008A4A71" w:rsidRDefault="00F67158">
            <w:pPr>
              <w:rPr>
                <w:sz w:val="16"/>
                <w:szCs w:val="16"/>
              </w:rPr>
            </w:pPr>
            <w:r>
              <w:rPr>
                <w:sz w:val="16"/>
                <w:szCs w:val="16"/>
              </w:rPr>
              <w:t>HT</w:t>
            </w:r>
          </w:p>
        </w:tc>
        <w:tc>
          <w:tcPr>
            <w:tcW w:w="1276" w:type="dxa"/>
          </w:tcPr>
          <w:p w14:paraId="1B3BC25A" w14:textId="77777777" w:rsidR="008A4A71" w:rsidRPr="008A4A71" w:rsidRDefault="007E5B1C">
            <w:pPr>
              <w:rPr>
                <w:sz w:val="16"/>
                <w:szCs w:val="16"/>
              </w:rPr>
            </w:pPr>
            <w:r>
              <w:rPr>
                <w:sz w:val="16"/>
                <w:szCs w:val="16"/>
              </w:rPr>
              <w:t>PD budget</w:t>
            </w:r>
          </w:p>
        </w:tc>
        <w:tc>
          <w:tcPr>
            <w:tcW w:w="1276" w:type="dxa"/>
          </w:tcPr>
          <w:p w14:paraId="5E9BA646" w14:textId="77777777" w:rsidR="008A4A71" w:rsidRPr="008A4A71" w:rsidRDefault="00F67158">
            <w:pPr>
              <w:rPr>
                <w:sz w:val="16"/>
                <w:szCs w:val="16"/>
              </w:rPr>
            </w:pPr>
            <w:r>
              <w:rPr>
                <w:sz w:val="16"/>
                <w:szCs w:val="16"/>
              </w:rPr>
              <w:t>Governors</w:t>
            </w:r>
          </w:p>
        </w:tc>
        <w:tc>
          <w:tcPr>
            <w:tcW w:w="1933" w:type="dxa"/>
          </w:tcPr>
          <w:p w14:paraId="1446C0C5" w14:textId="77777777" w:rsidR="008A4A71" w:rsidRPr="008A4A71" w:rsidRDefault="008A4A71">
            <w:pPr>
              <w:rPr>
                <w:sz w:val="16"/>
                <w:szCs w:val="16"/>
              </w:rPr>
            </w:pPr>
            <w:r w:rsidRPr="008A4A71">
              <w:rPr>
                <w:sz w:val="16"/>
                <w:szCs w:val="16"/>
              </w:rPr>
              <w:t>Staff are confident in supporting children with disabilities. The learning, social and medical needs of children with disabilities are met.</w:t>
            </w:r>
          </w:p>
        </w:tc>
      </w:tr>
      <w:tr w:rsidR="00F67158" w14:paraId="1AF2585E" w14:textId="77777777" w:rsidTr="00F67158">
        <w:tc>
          <w:tcPr>
            <w:tcW w:w="9016" w:type="dxa"/>
            <w:gridSpan w:val="5"/>
            <w:shd w:val="clear" w:color="auto" w:fill="D9E2F3" w:themeFill="accent5" w:themeFillTint="33"/>
          </w:tcPr>
          <w:p w14:paraId="27BD0EED" w14:textId="77777777" w:rsidR="00F67158" w:rsidRPr="00F67158" w:rsidRDefault="00F67158">
            <w:pPr>
              <w:rPr>
                <w:sz w:val="16"/>
                <w:szCs w:val="16"/>
              </w:rPr>
            </w:pPr>
            <w:r w:rsidRPr="00F67158">
              <w:rPr>
                <w:rFonts w:ascii="Calibri" w:eastAsia="Calibri" w:hAnsi="Calibri" w:cs="Calibri"/>
                <w:bCs/>
                <w:color w:val="000000"/>
                <w:sz w:val="16"/>
                <w:szCs w:val="16"/>
              </w:rPr>
              <w:t xml:space="preserve"> </w:t>
            </w:r>
            <w:r w:rsidRPr="00F67158">
              <w:rPr>
                <w:sz w:val="16"/>
                <w:szCs w:val="16"/>
              </w:rPr>
              <w:t>Strand 2: Physical environment</w:t>
            </w:r>
          </w:p>
        </w:tc>
      </w:tr>
      <w:tr w:rsidR="00F67158" w14:paraId="63122C64" w14:textId="77777777" w:rsidTr="002A4D0F">
        <w:tc>
          <w:tcPr>
            <w:tcW w:w="3256" w:type="dxa"/>
          </w:tcPr>
          <w:p w14:paraId="5E34BF73" w14:textId="77777777" w:rsidR="00F67158" w:rsidRPr="00F67158" w:rsidRDefault="000468FF" w:rsidP="00F67158">
            <w:pPr>
              <w:rPr>
                <w:rFonts w:ascii="Calibri" w:eastAsia="Calibri" w:hAnsi="Calibri" w:cs="Calibri"/>
                <w:bCs/>
                <w:color w:val="000000"/>
                <w:sz w:val="16"/>
                <w:szCs w:val="16"/>
              </w:rPr>
            </w:pPr>
            <w:r>
              <w:rPr>
                <w:sz w:val="16"/>
                <w:szCs w:val="16"/>
              </w:rPr>
              <w:t>Continue to r</w:t>
            </w:r>
            <w:r w:rsidR="00F67158" w:rsidRPr="00F67158">
              <w:rPr>
                <w:sz w:val="16"/>
                <w:szCs w:val="16"/>
              </w:rPr>
              <w:t xml:space="preserve">eview the needs of specific children with disabilities are met in practice, not just ‘on paper’. Review EHCP plans and reports from professionals to check what is needed. </w:t>
            </w:r>
          </w:p>
        </w:tc>
        <w:tc>
          <w:tcPr>
            <w:tcW w:w="1275" w:type="dxa"/>
          </w:tcPr>
          <w:p w14:paraId="28A18C8D" w14:textId="77777777" w:rsidR="00F67158" w:rsidRDefault="00F67158" w:rsidP="00F67158">
            <w:pPr>
              <w:rPr>
                <w:sz w:val="16"/>
                <w:szCs w:val="16"/>
              </w:rPr>
            </w:pPr>
            <w:r>
              <w:rPr>
                <w:sz w:val="16"/>
                <w:szCs w:val="16"/>
              </w:rPr>
              <w:t>HT</w:t>
            </w:r>
            <w:r w:rsidRPr="00F67158">
              <w:rPr>
                <w:sz w:val="16"/>
                <w:szCs w:val="16"/>
              </w:rPr>
              <w:t xml:space="preserve"> </w:t>
            </w:r>
          </w:p>
          <w:p w14:paraId="5899B4AB" w14:textId="77777777" w:rsidR="00F67158" w:rsidRPr="00F67158" w:rsidRDefault="00F67158" w:rsidP="00F67158">
            <w:pPr>
              <w:rPr>
                <w:sz w:val="16"/>
                <w:szCs w:val="16"/>
              </w:rPr>
            </w:pPr>
            <w:proofErr w:type="spellStart"/>
            <w:r>
              <w:rPr>
                <w:sz w:val="16"/>
                <w:szCs w:val="16"/>
              </w:rPr>
              <w:t>SENDco</w:t>
            </w:r>
            <w:proofErr w:type="spellEnd"/>
          </w:p>
        </w:tc>
        <w:tc>
          <w:tcPr>
            <w:tcW w:w="1276" w:type="dxa"/>
          </w:tcPr>
          <w:p w14:paraId="1BB4EDD9" w14:textId="77777777" w:rsidR="00F67158" w:rsidRPr="00F67158" w:rsidRDefault="00F67158">
            <w:pPr>
              <w:rPr>
                <w:sz w:val="16"/>
                <w:szCs w:val="16"/>
              </w:rPr>
            </w:pPr>
            <w:r w:rsidRPr="00F67158">
              <w:rPr>
                <w:sz w:val="16"/>
                <w:szCs w:val="16"/>
              </w:rPr>
              <w:t>Devolved capital Buildings and maintenance budget</w:t>
            </w:r>
          </w:p>
        </w:tc>
        <w:tc>
          <w:tcPr>
            <w:tcW w:w="1276" w:type="dxa"/>
          </w:tcPr>
          <w:p w14:paraId="07155CA0" w14:textId="77777777" w:rsidR="00F67158" w:rsidRPr="00F67158" w:rsidRDefault="00F67158">
            <w:pPr>
              <w:rPr>
                <w:sz w:val="16"/>
                <w:szCs w:val="16"/>
              </w:rPr>
            </w:pPr>
            <w:r w:rsidRPr="00F67158">
              <w:rPr>
                <w:sz w:val="16"/>
                <w:szCs w:val="16"/>
              </w:rPr>
              <w:t>SEND governor through review of provision for children with disabilities</w:t>
            </w:r>
          </w:p>
        </w:tc>
        <w:tc>
          <w:tcPr>
            <w:tcW w:w="1933" w:type="dxa"/>
          </w:tcPr>
          <w:p w14:paraId="598F21D7" w14:textId="77777777" w:rsidR="00F67158" w:rsidRPr="00F67158" w:rsidRDefault="00F67158">
            <w:pPr>
              <w:rPr>
                <w:sz w:val="16"/>
                <w:szCs w:val="16"/>
              </w:rPr>
            </w:pPr>
            <w:r w:rsidRPr="00F67158">
              <w:rPr>
                <w:sz w:val="16"/>
                <w:szCs w:val="16"/>
              </w:rPr>
              <w:t>Provision is made to ensure that children with disabilities are able to access all aspects of learning and recreation, and participate fully in school life.</w:t>
            </w:r>
          </w:p>
        </w:tc>
      </w:tr>
      <w:tr w:rsidR="00F67158" w14:paraId="4E078B0E" w14:textId="77777777" w:rsidTr="002A4D0F">
        <w:tc>
          <w:tcPr>
            <w:tcW w:w="3256" w:type="dxa"/>
          </w:tcPr>
          <w:p w14:paraId="4B3DD8C3" w14:textId="77777777" w:rsidR="00F67158" w:rsidRPr="00F67158" w:rsidRDefault="00F67158" w:rsidP="00F67158">
            <w:pPr>
              <w:rPr>
                <w:rFonts w:ascii="Calibri" w:eastAsia="Calibri" w:hAnsi="Calibri" w:cs="Calibri"/>
                <w:bCs/>
                <w:color w:val="000000"/>
                <w:sz w:val="16"/>
                <w:szCs w:val="16"/>
              </w:rPr>
            </w:pPr>
            <w:r w:rsidRPr="00F67158">
              <w:rPr>
                <w:sz w:val="16"/>
                <w:szCs w:val="16"/>
              </w:rPr>
              <w:t>Plan all recreation areas to ensure they are appropriate for learners with Physical</w:t>
            </w:r>
            <w:r w:rsidR="000468FF">
              <w:rPr>
                <w:sz w:val="16"/>
                <w:szCs w:val="16"/>
              </w:rPr>
              <w:t>/Mental</w:t>
            </w:r>
            <w:r w:rsidRPr="00F67158">
              <w:rPr>
                <w:sz w:val="16"/>
                <w:szCs w:val="16"/>
              </w:rPr>
              <w:t xml:space="preserve"> Disability. Work in partnership with appropriate children and families. </w:t>
            </w:r>
          </w:p>
        </w:tc>
        <w:tc>
          <w:tcPr>
            <w:tcW w:w="1275" w:type="dxa"/>
          </w:tcPr>
          <w:p w14:paraId="1EB181EA" w14:textId="77777777" w:rsidR="00F67158" w:rsidRDefault="00F67158">
            <w:pPr>
              <w:rPr>
                <w:sz w:val="16"/>
                <w:szCs w:val="16"/>
              </w:rPr>
            </w:pPr>
            <w:r w:rsidRPr="00F67158">
              <w:rPr>
                <w:sz w:val="16"/>
                <w:szCs w:val="16"/>
              </w:rPr>
              <w:t>HT</w:t>
            </w:r>
          </w:p>
          <w:p w14:paraId="1AD1B604" w14:textId="77777777" w:rsidR="002A4D0F" w:rsidRPr="00F67158" w:rsidRDefault="002A4D0F">
            <w:pPr>
              <w:rPr>
                <w:sz w:val="16"/>
                <w:szCs w:val="16"/>
              </w:rPr>
            </w:pPr>
            <w:r>
              <w:rPr>
                <w:sz w:val="16"/>
                <w:szCs w:val="16"/>
              </w:rPr>
              <w:t>Site Manager</w:t>
            </w:r>
          </w:p>
        </w:tc>
        <w:tc>
          <w:tcPr>
            <w:tcW w:w="1276" w:type="dxa"/>
          </w:tcPr>
          <w:p w14:paraId="7A408048" w14:textId="77777777" w:rsidR="00F67158" w:rsidRPr="00F67158" w:rsidRDefault="00F67158">
            <w:pPr>
              <w:rPr>
                <w:sz w:val="16"/>
                <w:szCs w:val="16"/>
              </w:rPr>
            </w:pPr>
            <w:r w:rsidRPr="00F67158">
              <w:rPr>
                <w:sz w:val="16"/>
                <w:szCs w:val="16"/>
              </w:rPr>
              <w:t>ongoing</w:t>
            </w:r>
          </w:p>
        </w:tc>
        <w:tc>
          <w:tcPr>
            <w:tcW w:w="1276" w:type="dxa"/>
          </w:tcPr>
          <w:p w14:paraId="17863947" w14:textId="77777777" w:rsidR="00F67158" w:rsidRDefault="00F67158">
            <w:pPr>
              <w:rPr>
                <w:sz w:val="16"/>
                <w:szCs w:val="16"/>
              </w:rPr>
            </w:pPr>
            <w:r w:rsidRPr="00F67158">
              <w:rPr>
                <w:sz w:val="16"/>
                <w:szCs w:val="16"/>
              </w:rPr>
              <w:t>LGB</w:t>
            </w:r>
          </w:p>
          <w:p w14:paraId="13501AA8" w14:textId="77777777" w:rsidR="002A4D0F" w:rsidRPr="00F67158" w:rsidRDefault="002A4D0F">
            <w:pPr>
              <w:rPr>
                <w:sz w:val="16"/>
                <w:szCs w:val="16"/>
              </w:rPr>
            </w:pPr>
            <w:proofErr w:type="spellStart"/>
            <w:r>
              <w:rPr>
                <w:sz w:val="16"/>
                <w:szCs w:val="16"/>
              </w:rPr>
              <w:t>SENDco</w:t>
            </w:r>
            <w:proofErr w:type="spellEnd"/>
          </w:p>
        </w:tc>
        <w:tc>
          <w:tcPr>
            <w:tcW w:w="1933" w:type="dxa"/>
          </w:tcPr>
          <w:p w14:paraId="031B6BE9" w14:textId="77777777" w:rsidR="00F67158" w:rsidRPr="00F67158" w:rsidRDefault="00F67158">
            <w:pPr>
              <w:rPr>
                <w:sz w:val="16"/>
                <w:szCs w:val="16"/>
              </w:rPr>
            </w:pPr>
            <w:r w:rsidRPr="00F67158">
              <w:rPr>
                <w:sz w:val="16"/>
                <w:szCs w:val="16"/>
              </w:rPr>
              <w:t>Learners with PD access recreation areas and are happy to do so.</w:t>
            </w:r>
          </w:p>
        </w:tc>
      </w:tr>
      <w:tr w:rsidR="00991626" w14:paraId="72AFF8EC" w14:textId="77777777" w:rsidTr="002A4D0F">
        <w:tc>
          <w:tcPr>
            <w:tcW w:w="3256" w:type="dxa"/>
          </w:tcPr>
          <w:p w14:paraId="126E87E2" w14:textId="0B340D3D" w:rsidR="00991626" w:rsidRDefault="00991626" w:rsidP="00F67158">
            <w:pPr>
              <w:rPr>
                <w:sz w:val="16"/>
                <w:szCs w:val="16"/>
              </w:rPr>
            </w:pPr>
            <w:r>
              <w:rPr>
                <w:sz w:val="16"/>
                <w:szCs w:val="16"/>
              </w:rPr>
              <w:t>Continue to ensure all fire escape rout</w:t>
            </w:r>
            <w:r w:rsidR="00A2587D">
              <w:rPr>
                <w:sz w:val="16"/>
                <w:szCs w:val="16"/>
              </w:rPr>
              <w:t>e</w:t>
            </w:r>
            <w:r>
              <w:rPr>
                <w:sz w:val="16"/>
                <w:szCs w:val="16"/>
              </w:rPr>
              <w:t>s are suitable for all. Audit current fire procedures.</w:t>
            </w:r>
          </w:p>
          <w:p w14:paraId="355FB3E2" w14:textId="77777777" w:rsidR="00991626" w:rsidRPr="00F67158" w:rsidRDefault="00991626" w:rsidP="00F67158">
            <w:pPr>
              <w:rPr>
                <w:sz w:val="16"/>
                <w:szCs w:val="16"/>
              </w:rPr>
            </w:pPr>
            <w:r>
              <w:rPr>
                <w:sz w:val="16"/>
                <w:szCs w:val="16"/>
              </w:rPr>
              <w:t>Refresher training for fire wardens. Monitor corridors areas to ensure they are clear and tidy.</w:t>
            </w:r>
          </w:p>
        </w:tc>
        <w:tc>
          <w:tcPr>
            <w:tcW w:w="1275" w:type="dxa"/>
          </w:tcPr>
          <w:p w14:paraId="3384A338" w14:textId="77777777" w:rsidR="00991626" w:rsidRPr="00F67158" w:rsidRDefault="00991626">
            <w:pPr>
              <w:rPr>
                <w:sz w:val="16"/>
                <w:szCs w:val="16"/>
              </w:rPr>
            </w:pPr>
            <w:r>
              <w:rPr>
                <w:sz w:val="16"/>
                <w:szCs w:val="16"/>
              </w:rPr>
              <w:t>All staff</w:t>
            </w:r>
          </w:p>
        </w:tc>
        <w:tc>
          <w:tcPr>
            <w:tcW w:w="1276" w:type="dxa"/>
          </w:tcPr>
          <w:p w14:paraId="02766514" w14:textId="77777777" w:rsidR="00991626" w:rsidRPr="00F67158" w:rsidRDefault="00991626">
            <w:pPr>
              <w:rPr>
                <w:sz w:val="16"/>
                <w:szCs w:val="16"/>
              </w:rPr>
            </w:pPr>
            <w:r>
              <w:rPr>
                <w:sz w:val="16"/>
                <w:szCs w:val="16"/>
              </w:rPr>
              <w:t>ongoing</w:t>
            </w:r>
          </w:p>
        </w:tc>
        <w:tc>
          <w:tcPr>
            <w:tcW w:w="1276" w:type="dxa"/>
          </w:tcPr>
          <w:p w14:paraId="1310598E" w14:textId="77777777" w:rsidR="00991626" w:rsidRPr="00F67158" w:rsidRDefault="00991626">
            <w:pPr>
              <w:rPr>
                <w:sz w:val="16"/>
                <w:szCs w:val="16"/>
              </w:rPr>
            </w:pPr>
            <w:r>
              <w:rPr>
                <w:sz w:val="16"/>
                <w:szCs w:val="16"/>
              </w:rPr>
              <w:t>Health and Safety Lead</w:t>
            </w:r>
          </w:p>
        </w:tc>
        <w:tc>
          <w:tcPr>
            <w:tcW w:w="1933" w:type="dxa"/>
          </w:tcPr>
          <w:p w14:paraId="75485348" w14:textId="77777777" w:rsidR="00991626" w:rsidRPr="00F67158" w:rsidRDefault="00991626">
            <w:pPr>
              <w:rPr>
                <w:sz w:val="16"/>
                <w:szCs w:val="16"/>
              </w:rPr>
            </w:pPr>
            <w:r>
              <w:rPr>
                <w:sz w:val="16"/>
                <w:szCs w:val="16"/>
              </w:rPr>
              <w:t>To ensure fire escapes are suitable for all.</w:t>
            </w:r>
          </w:p>
        </w:tc>
      </w:tr>
      <w:tr w:rsidR="00F67158" w14:paraId="270E9905" w14:textId="77777777" w:rsidTr="002A4D0F">
        <w:tc>
          <w:tcPr>
            <w:tcW w:w="3256" w:type="dxa"/>
          </w:tcPr>
          <w:p w14:paraId="63ED7B08" w14:textId="77777777" w:rsidR="00F67158" w:rsidRPr="002A4D0F" w:rsidRDefault="002A4D0F" w:rsidP="002A4D0F">
            <w:pPr>
              <w:rPr>
                <w:rFonts w:ascii="Calibri" w:eastAsia="Calibri" w:hAnsi="Calibri" w:cs="Calibri"/>
                <w:bCs/>
                <w:color w:val="000000"/>
                <w:sz w:val="16"/>
                <w:szCs w:val="16"/>
              </w:rPr>
            </w:pPr>
            <w:r w:rsidRPr="002A4D0F">
              <w:rPr>
                <w:sz w:val="16"/>
                <w:szCs w:val="16"/>
              </w:rPr>
              <w:t xml:space="preserve">Ensure appropriate specialist furniture is available to support children with disabilities. Review EHCP plans and reports from professionals to check what is needed. </w:t>
            </w:r>
          </w:p>
        </w:tc>
        <w:tc>
          <w:tcPr>
            <w:tcW w:w="1275" w:type="dxa"/>
          </w:tcPr>
          <w:p w14:paraId="2895C124" w14:textId="77777777" w:rsidR="00F67158" w:rsidRPr="002A4D0F" w:rsidRDefault="002A4D0F">
            <w:pPr>
              <w:rPr>
                <w:sz w:val="16"/>
                <w:szCs w:val="16"/>
              </w:rPr>
            </w:pPr>
            <w:r w:rsidRPr="002A4D0F">
              <w:rPr>
                <w:sz w:val="16"/>
                <w:szCs w:val="16"/>
              </w:rPr>
              <w:t>HT</w:t>
            </w:r>
          </w:p>
          <w:p w14:paraId="141F56C0" w14:textId="77777777" w:rsidR="002A4D0F" w:rsidRPr="002A4D0F" w:rsidRDefault="002A4D0F">
            <w:pPr>
              <w:rPr>
                <w:sz w:val="16"/>
                <w:szCs w:val="16"/>
              </w:rPr>
            </w:pPr>
            <w:proofErr w:type="spellStart"/>
            <w:r w:rsidRPr="002A4D0F">
              <w:rPr>
                <w:sz w:val="16"/>
                <w:szCs w:val="16"/>
              </w:rPr>
              <w:t>SENDco</w:t>
            </w:r>
            <w:proofErr w:type="spellEnd"/>
          </w:p>
          <w:p w14:paraId="114FC0F8" w14:textId="77777777" w:rsidR="002A4D0F" w:rsidRPr="002A4D0F" w:rsidRDefault="002A4D0F">
            <w:pPr>
              <w:rPr>
                <w:sz w:val="16"/>
                <w:szCs w:val="16"/>
              </w:rPr>
            </w:pPr>
            <w:r w:rsidRPr="002A4D0F">
              <w:rPr>
                <w:sz w:val="16"/>
                <w:szCs w:val="16"/>
              </w:rPr>
              <w:t>Class Teacher</w:t>
            </w:r>
          </w:p>
        </w:tc>
        <w:tc>
          <w:tcPr>
            <w:tcW w:w="1276" w:type="dxa"/>
          </w:tcPr>
          <w:p w14:paraId="3BAAACEE" w14:textId="77777777" w:rsidR="00F67158" w:rsidRPr="002A4D0F" w:rsidRDefault="002A4D0F">
            <w:pPr>
              <w:rPr>
                <w:sz w:val="16"/>
                <w:szCs w:val="16"/>
              </w:rPr>
            </w:pPr>
            <w:r w:rsidRPr="002A4D0F">
              <w:rPr>
                <w:sz w:val="16"/>
                <w:szCs w:val="16"/>
              </w:rPr>
              <w:t>SEND budget</w:t>
            </w:r>
          </w:p>
        </w:tc>
        <w:tc>
          <w:tcPr>
            <w:tcW w:w="1276" w:type="dxa"/>
          </w:tcPr>
          <w:p w14:paraId="1DB90134" w14:textId="77777777" w:rsidR="00F67158" w:rsidRPr="002A4D0F" w:rsidRDefault="002A4D0F">
            <w:pPr>
              <w:rPr>
                <w:sz w:val="16"/>
                <w:szCs w:val="16"/>
              </w:rPr>
            </w:pPr>
            <w:r w:rsidRPr="002A4D0F">
              <w:rPr>
                <w:sz w:val="16"/>
                <w:szCs w:val="16"/>
              </w:rPr>
              <w:t>Annually reviewed</w:t>
            </w:r>
          </w:p>
        </w:tc>
        <w:tc>
          <w:tcPr>
            <w:tcW w:w="1933" w:type="dxa"/>
          </w:tcPr>
          <w:p w14:paraId="5D6FDA17" w14:textId="77777777" w:rsidR="00F67158" w:rsidRPr="002A4D0F" w:rsidRDefault="002A4D0F">
            <w:pPr>
              <w:rPr>
                <w:sz w:val="16"/>
                <w:szCs w:val="16"/>
              </w:rPr>
            </w:pPr>
            <w:r w:rsidRPr="002A4D0F">
              <w:rPr>
                <w:sz w:val="16"/>
                <w:szCs w:val="16"/>
              </w:rPr>
              <w:t>Children with disabilities are well supported.</w:t>
            </w:r>
          </w:p>
        </w:tc>
      </w:tr>
      <w:tr w:rsidR="00A2587D" w14:paraId="29FE5B88" w14:textId="77777777" w:rsidTr="002A4D0F">
        <w:tc>
          <w:tcPr>
            <w:tcW w:w="3256" w:type="dxa"/>
          </w:tcPr>
          <w:p w14:paraId="3667BEBA" w14:textId="01535D0B" w:rsidR="00A2587D" w:rsidRPr="002A4D0F" w:rsidRDefault="00711943" w:rsidP="002A4D0F">
            <w:pPr>
              <w:rPr>
                <w:sz w:val="16"/>
                <w:szCs w:val="16"/>
              </w:rPr>
            </w:pPr>
            <w:r w:rsidRPr="00711943">
              <w:rPr>
                <w:sz w:val="16"/>
                <w:szCs w:val="16"/>
              </w:rPr>
              <w:t>To ensure b</w:t>
            </w:r>
            <w:r w:rsidR="00A2587D" w:rsidRPr="00711943">
              <w:rPr>
                <w:sz w:val="16"/>
                <w:szCs w:val="16"/>
              </w:rPr>
              <w:t>linds in all classrooms to assist children with visual</w:t>
            </w:r>
            <w:r w:rsidR="00A2587D">
              <w:t xml:space="preserve"> </w:t>
            </w:r>
            <w:r w:rsidR="00A2587D" w:rsidRPr="00711943">
              <w:rPr>
                <w:sz w:val="16"/>
                <w:szCs w:val="16"/>
              </w:rPr>
              <w:t>disturbance/ visually impaired children</w:t>
            </w:r>
          </w:p>
        </w:tc>
        <w:tc>
          <w:tcPr>
            <w:tcW w:w="1275" w:type="dxa"/>
          </w:tcPr>
          <w:p w14:paraId="450CAB54" w14:textId="7A1E519D" w:rsidR="00A2587D" w:rsidRPr="002A4D0F" w:rsidRDefault="00711943">
            <w:pPr>
              <w:rPr>
                <w:sz w:val="16"/>
                <w:szCs w:val="16"/>
              </w:rPr>
            </w:pPr>
            <w:r>
              <w:rPr>
                <w:sz w:val="16"/>
                <w:szCs w:val="16"/>
              </w:rPr>
              <w:t>Caretaker</w:t>
            </w:r>
          </w:p>
        </w:tc>
        <w:tc>
          <w:tcPr>
            <w:tcW w:w="1276" w:type="dxa"/>
          </w:tcPr>
          <w:p w14:paraId="1215937B" w14:textId="77B8EB13" w:rsidR="00A2587D" w:rsidRPr="002A4D0F" w:rsidRDefault="00711943">
            <w:pPr>
              <w:rPr>
                <w:sz w:val="16"/>
                <w:szCs w:val="16"/>
              </w:rPr>
            </w:pPr>
            <w:r>
              <w:rPr>
                <w:sz w:val="16"/>
                <w:szCs w:val="16"/>
              </w:rPr>
              <w:t>SEND budget</w:t>
            </w:r>
          </w:p>
        </w:tc>
        <w:tc>
          <w:tcPr>
            <w:tcW w:w="1276" w:type="dxa"/>
          </w:tcPr>
          <w:p w14:paraId="60C7809E" w14:textId="257EA077" w:rsidR="00A2587D" w:rsidRPr="002A4D0F" w:rsidRDefault="00711943">
            <w:pPr>
              <w:rPr>
                <w:sz w:val="16"/>
                <w:szCs w:val="16"/>
              </w:rPr>
            </w:pPr>
            <w:r>
              <w:rPr>
                <w:sz w:val="16"/>
                <w:szCs w:val="16"/>
              </w:rPr>
              <w:t>Annually</w:t>
            </w:r>
          </w:p>
        </w:tc>
        <w:tc>
          <w:tcPr>
            <w:tcW w:w="1933" w:type="dxa"/>
          </w:tcPr>
          <w:p w14:paraId="609E0A4F" w14:textId="4E731949" w:rsidR="00A2587D" w:rsidRPr="002A4D0F" w:rsidRDefault="00711943">
            <w:pPr>
              <w:rPr>
                <w:sz w:val="16"/>
                <w:szCs w:val="16"/>
              </w:rPr>
            </w:pPr>
            <w:r>
              <w:rPr>
                <w:sz w:val="16"/>
                <w:szCs w:val="16"/>
              </w:rPr>
              <w:t>To ensure children can access the curriculum</w:t>
            </w:r>
          </w:p>
        </w:tc>
      </w:tr>
      <w:tr w:rsidR="002A4D0F" w:rsidRPr="002A4D0F" w14:paraId="0B26A0FE" w14:textId="77777777" w:rsidTr="002A4D0F">
        <w:tc>
          <w:tcPr>
            <w:tcW w:w="9016" w:type="dxa"/>
            <w:gridSpan w:val="5"/>
            <w:shd w:val="clear" w:color="auto" w:fill="D9E2F3" w:themeFill="accent5" w:themeFillTint="33"/>
          </w:tcPr>
          <w:p w14:paraId="76112789" w14:textId="77777777" w:rsidR="002A4D0F" w:rsidRPr="002A4D0F" w:rsidRDefault="002A4D0F">
            <w:pPr>
              <w:rPr>
                <w:sz w:val="16"/>
                <w:szCs w:val="16"/>
              </w:rPr>
            </w:pPr>
            <w:r w:rsidRPr="002A4D0F">
              <w:rPr>
                <w:sz w:val="16"/>
                <w:szCs w:val="16"/>
              </w:rPr>
              <w:t>Strand 3: Access to written information/improving the delivery of information</w:t>
            </w:r>
          </w:p>
        </w:tc>
      </w:tr>
      <w:tr w:rsidR="002A4D0F" w14:paraId="2F3A5571" w14:textId="77777777" w:rsidTr="002A4D0F">
        <w:tc>
          <w:tcPr>
            <w:tcW w:w="3256" w:type="dxa"/>
          </w:tcPr>
          <w:p w14:paraId="63FAEB3D" w14:textId="77777777" w:rsidR="002A4D0F" w:rsidRPr="00F67158" w:rsidRDefault="002A4D0F" w:rsidP="007E5B1C">
            <w:pPr>
              <w:rPr>
                <w:rFonts w:ascii="Calibri" w:eastAsia="Calibri" w:hAnsi="Calibri" w:cs="Calibri"/>
                <w:bCs/>
                <w:color w:val="000000"/>
                <w:sz w:val="16"/>
                <w:szCs w:val="16"/>
              </w:rPr>
            </w:pPr>
            <w:r>
              <w:rPr>
                <w:rFonts w:ascii="Calibri" w:eastAsia="Calibri" w:hAnsi="Calibri" w:cs="Calibri"/>
                <w:bCs/>
                <w:color w:val="000000"/>
                <w:sz w:val="16"/>
                <w:szCs w:val="16"/>
              </w:rPr>
              <w:lastRenderedPageBreak/>
              <w:t>Ensure all information is displayed on the school website</w:t>
            </w:r>
          </w:p>
        </w:tc>
        <w:tc>
          <w:tcPr>
            <w:tcW w:w="1275" w:type="dxa"/>
          </w:tcPr>
          <w:p w14:paraId="2C1F817E" w14:textId="77777777" w:rsidR="002A4D0F" w:rsidRDefault="002A4D0F">
            <w:pPr>
              <w:rPr>
                <w:sz w:val="16"/>
                <w:szCs w:val="16"/>
              </w:rPr>
            </w:pPr>
            <w:r>
              <w:rPr>
                <w:sz w:val="16"/>
                <w:szCs w:val="16"/>
              </w:rPr>
              <w:t>HT</w:t>
            </w:r>
          </w:p>
          <w:p w14:paraId="4FB77BB1" w14:textId="77777777" w:rsidR="002A4D0F" w:rsidRPr="00F67158" w:rsidRDefault="002A4D0F">
            <w:pPr>
              <w:rPr>
                <w:sz w:val="16"/>
                <w:szCs w:val="16"/>
              </w:rPr>
            </w:pPr>
            <w:r>
              <w:rPr>
                <w:sz w:val="16"/>
                <w:szCs w:val="16"/>
              </w:rPr>
              <w:t>Computing Lead</w:t>
            </w:r>
          </w:p>
        </w:tc>
        <w:tc>
          <w:tcPr>
            <w:tcW w:w="1276" w:type="dxa"/>
          </w:tcPr>
          <w:p w14:paraId="4D1102A0" w14:textId="77777777" w:rsidR="002A4D0F" w:rsidRPr="00F67158" w:rsidRDefault="002A4D0F">
            <w:pPr>
              <w:rPr>
                <w:sz w:val="16"/>
                <w:szCs w:val="16"/>
              </w:rPr>
            </w:pPr>
            <w:r>
              <w:rPr>
                <w:sz w:val="16"/>
                <w:szCs w:val="16"/>
              </w:rPr>
              <w:t xml:space="preserve">Reviewed annually and updates as necessary </w:t>
            </w:r>
          </w:p>
        </w:tc>
        <w:tc>
          <w:tcPr>
            <w:tcW w:w="1276" w:type="dxa"/>
          </w:tcPr>
          <w:p w14:paraId="209E9F5A" w14:textId="77777777" w:rsidR="002A4D0F" w:rsidRPr="00F67158" w:rsidRDefault="002A4D0F">
            <w:pPr>
              <w:rPr>
                <w:sz w:val="16"/>
                <w:szCs w:val="16"/>
              </w:rPr>
            </w:pPr>
            <w:r>
              <w:rPr>
                <w:sz w:val="16"/>
                <w:szCs w:val="16"/>
              </w:rPr>
              <w:t>Trust audit</w:t>
            </w:r>
          </w:p>
        </w:tc>
        <w:tc>
          <w:tcPr>
            <w:tcW w:w="1933" w:type="dxa"/>
          </w:tcPr>
          <w:p w14:paraId="0053F067" w14:textId="77777777" w:rsidR="002A4D0F" w:rsidRPr="00F67158" w:rsidRDefault="002A4D0F">
            <w:pPr>
              <w:rPr>
                <w:sz w:val="16"/>
                <w:szCs w:val="16"/>
              </w:rPr>
            </w:pPr>
            <w:r>
              <w:rPr>
                <w:sz w:val="16"/>
                <w:szCs w:val="16"/>
              </w:rPr>
              <w:t>Parents will have the correct information</w:t>
            </w:r>
          </w:p>
        </w:tc>
      </w:tr>
      <w:tr w:rsidR="002A4D0F" w14:paraId="7BCDF6CC" w14:textId="77777777" w:rsidTr="002A4D0F">
        <w:tc>
          <w:tcPr>
            <w:tcW w:w="3256" w:type="dxa"/>
          </w:tcPr>
          <w:p w14:paraId="6BECA877" w14:textId="77777777" w:rsidR="002A4D0F" w:rsidRPr="00F67158" w:rsidRDefault="002A4D0F" w:rsidP="007E5B1C">
            <w:pPr>
              <w:rPr>
                <w:rFonts w:ascii="Calibri" w:eastAsia="Calibri" w:hAnsi="Calibri" w:cs="Calibri"/>
                <w:bCs/>
                <w:color w:val="000000"/>
                <w:sz w:val="16"/>
                <w:szCs w:val="16"/>
              </w:rPr>
            </w:pPr>
            <w:r>
              <w:rPr>
                <w:rFonts w:ascii="Calibri" w:eastAsia="Calibri" w:hAnsi="Calibri" w:cs="Calibri"/>
                <w:bCs/>
                <w:color w:val="000000"/>
                <w:sz w:val="16"/>
                <w:szCs w:val="16"/>
              </w:rPr>
              <w:t xml:space="preserve">Newsletters will be used to disseminate new </w:t>
            </w:r>
            <w:r w:rsidR="00991626">
              <w:rPr>
                <w:rFonts w:ascii="Calibri" w:eastAsia="Calibri" w:hAnsi="Calibri" w:cs="Calibri"/>
                <w:bCs/>
                <w:color w:val="000000"/>
                <w:sz w:val="16"/>
                <w:szCs w:val="16"/>
              </w:rPr>
              <w:t>information for</w:t>
            </w:r>
            <w:r>
              <w:rPr>
                <w:rFonts w:ascii="Calibri" w:eastAsia="Calibri" w:hAnsi="Calibri" w:cs="Calibri"/>
                <w:bCs/>
                <w:color w:val="000000"/>
                <w:sz w:val="16"/>
                <w:szCs w:val="16"/>
              </w:rPr>
              <w:t xml:space="preserve"> all parents</w:t>
            </w:r>
          </w:p>
        </w:tc>
        <w:tc>
          <w:tcPr>
            <w:tcW w:w="1275" w:type="dxa"/>
          </w:tcPr>
          <w:p w14:paraId="7107D257" w14:textId="77777777" w:rsidR="002A4D0F" w:rsidRPr="00F67158" w:rsidRDefault="002A4D0F">
            <w:pPr>
              <w:rPr>
                <w:sz w:val="16"/>
                <w:szCs w:val="16"/>
              </w:rPr>
            </w:pPr>
            <w:r>
              <w:rPr>
                <w:sz w:val="16"/>
                <w:szCs w:val="16"/>
              </w:rPr>
              <w:t>HT</w:t>
            </w:r>
          </w:p>
        </w:tc>
        <w:tc>
          <w:tcPr>
            <w:tcW w:w="1276" w:type="dxa"/>
          </w:tcPr>
          <w:p w14:paraId="541D5036" w14:textId="77777777" w:rsidR="002A4D0F" w:rsidRPr="00F67158" w:rsidRDefault="002A4D0F">
            <w:pPr>
              <w:rPr>
                <w:sz w:val="16"/>
                <w:szCs w:val="16"/>
              </w:rPr>
            </w:pPr>
            <w:r>
              <w:rPr>
                <w:sz w:val="16"/>
                <w:szCs w:val="16"/>
              </w:rPr>
              <w:t>Half termly if required</w:t>
            </w:r>
          </w:p>
        </w:tc>
        <w:tc>
          <w:tcPr>
            <w:tcW w:w="1276" w:type="dxa"/>
          </w:tcPr>
          <w:p w14:paraId="039B0428" w14:textId="77777777" w:rsidR="002A4D0F" w:rsidRPr="00F67158" w:rsidRDefault="002A4D0F">
            <w:pPr>
              <w:rPr>
                <w:sz w:val="16"/>
                <w:szCs w:val="16"/>
              </w:rPr>
            </w:pPr>
            <w:r>
              <w:rPr>
                <w:sz w:val="16"/>
                <w:szCs w:val="16"/>
              </w:rPr>
              <w:t>Parents</w:t>
            </w:r>
          </w:p>
        </w:tc>
        <w:tc>
          <w:tcPr>
            <w:tcW w:w="1933" w:type="dxa"/>
          </w:tcPr>
          <w:p w14:paraId="6CFB3285" w14:textId="77777777" w:rsidR="002A4D0F" w:rsidRPr="00F67158" w:rsidRDefault="002A4D0F">
            <w:pPr>
              <w:rPr>
                <w:sz w:val="16"/>
                <w:szCs w:val="16"/>
              </w:rPr>
            </w:pPr>
            <w:r>
              <w:rPr>
                <w:sz w:val="16"/>
                <w:szCs w:val="16"/>
              </w:rPr>
              <w:t>Parents to be kept informed</w:t>
            </w:r>
          </w:p>
        </w:tc>
      </w:tr>
      <w:tr w:rsidR="00991626" w14:paraId="6485D200" w14:textId="77777777" w:rsidTr="002A4D0F">
        <w:tc>
          <w:tcPr>
            <w:tcW w:w="3256" w:type="dxa"/>
          </w:tcPr>
          <w:p w14:paraId="2781F243" w14:textId="77777777" w:rsidR="00991626" w:rsidRDefault="00991626" w:rsidP="007E5B1C">
            <w:pPr>
              <w:rPr>
                <w:rFonts w:ascii="Calibri" w:eastAsia="Calibri" w:hAnsi="Calibri" w:cs="Calibri"/>
                <w:bCs/>
                <w:color w:val="000000"/>
                <w:sz w:val="16"/>
                <w:szCs w:val="16"/>
              </w:rPr>
            </w:pPr>
            <w:r>
              <w:rPr>
                <w:rFonts w:ascii="Calibri" w:eastAsia="Calibri" w:hAnsi="Calibri" w:cs="Calibri"/>
                <w:bCs/>
                <w:color w:val="000000"/>
                <w:sz w:val="16"/>
                <w:szCs w:val="16"/>
              </w:rPr>
              <w:t>Have systems in place to ensure different versions of information are available. E.g. braille, audio</w:t>
            </w:r>
          </w:p>
        </w:tc>
        <w:tc>
          <w:tcPr>
            <w:tcW w:w="1275" w:type="dxa"/>
          </w:tcPr>
          <w:p w14:paraId="3F37BB72" w14:textId="77777777" w:rsidR="00991626" w:rsidRDefault="00991626">
            <w:pPr>
              <w:rPr>
                <w:sz w:val="16"/>
                <w:szCs w:val="16"/>
              </w:rPr>
            </w:pPr>
            <w:r>
              <w:rPr>
                <w:sz w:val="16"/>
                <w:szCs w:val="16"/>
              </w:rPr>
              <w:t>Trust admin/HT/ Office admin</w:t>
            </w:r>
          </w:p>
        </w:tc>
        <w:tc>
          <w:tcPr>
            <w:tcW w:w="1276" w:type="dxa"/>
          </w:tcPr>
          <w:p w14:paraId="581EECB7" w14:textId="77777777" w:rsidR="00991626" w:rsidRDefault="00991626">
            <w:pPr>
              <w:rPr>
                <w:sz w:val="16"/>
                <w:szCs w:val="16"/>
              </w:rPr>
            </w:pPr>
            <w:r>
              <w:rPr>
                <w:sz w:val="16"/>
                <w:szCs w:val="16"/>
              </w:rPr>
              <w:t>As required</w:t>
            </w:r>
          </w:p>
        </w:tc>
        <w:tc>
          <w:tcPr>
            <w:tcW w:w="1276" w:type="dxa"/>
          </w:tcPr>
          <w:p w14:paraId="356BFC54" w14:textId="77777777" w:rsidR="00991626" w:rsidRDefault="00991626">
            <w:pPr>
              <w:rPr>
                <w:sz w:val="16"/>
                <w:szCs w:val="16"/>
              </w:rPr>
            </w:pPr>
            <w:r>
              <w:rPr>
                <w:sz w:val="16"/>
                <w:szCs w:val="16"/>
              </w:rPr>
              <w:t>Admin team</w:t>
            </w:r>
          </w:p>
        </w:tc>
        <w:tc>
          <w:tcPr>
            <w:tcW w:w="1933" w:type="dxa"/>
          </w:tcPr>
          <w:p w14:paraId="0ABBDFD0" w14:textId="77777777" w:rsidR="00991626" w:rsidRDefault="00991626">
            <w:pPr>
              <w:rPr>
                <w:sz w:val="16"/>
                <w:szCs w:val="16"/>
              </w:rPr>
            </w:pPr>
            <w:r>
              <w:rPr>
                <w:sz w:val="16"/>
                <w:szCs w:val="16"/>
              </w:rPr>
              <w:t>Accessibility for all</w:t>
            </w:r>
          </w:p>
        </w:tc>
      </w:tr>
    </w:tbl>
    <w:p w14:paraId="7CD646FA" w14:textId="77777777" w:rsidR="008A4A71" w:rsidRDefault="008A4A71" w:rsidP="002A4D0F"/>
    <w:p w14:paraId="19DCAF2C" w14:textId="77777777" w:rsidR="00711943" w:rsidRPr="00711943" w:rsidRDefault="00711943" w:rsidP="002A4D0F">
      <w:pPr>
        <w:rPr>
          <w:b/>
          <w:bCs/>
        </w:rPr>
      </w:pPr>
      <w:r w:rsidRPr="00711943">
        <w:rPr>
          <w:b/>
          <w:bCs/>
        </w:rPr>
        <w:t xml:space="preserve">Monitoring arrangements </w:t>
      </w:r>
    </w:p>
    <w:p w14:paraId="373511C9" w14:textId="77777777" w:rsidR="00711943" w:rsidRDefault="00711943" w:rsidP="002A4D0F">
      <w:r>
        <w:t xml:space="preserve">This document will be reviewed every 3 </w:t>
      </w:r>
      <w:proofErr w:type="gramStart"/>
      <w:r>
        <w:t>years, but</w:t>
      </w:r>
      <w:proofErr w:type="gramEnd"/>
      <w:r>
        <w:t xml:space="preserve"> may be reviewed and updated more frequently if necessary. It will be approved by the governing body and the headteacher. </w:t>
      </w:r>
    </w:p>
    <w:p w14:paraId="0C226504" w14:textId="77777777" w:rsidR="00711943" w:rsidRPr="00711943" w:rsidRDefault="00711943" w:rsidP="002A4D0F">
      <w:pPr>
        <w:rPr>
          <w:b/>
          <w:bCs/>
        </w:rPr>
      </w:pPr>
      <w:r w:rsidRPr="00711943">
        <w:rPr>
          <w:b/>
          <w:bCs/>
        </w:rPr>
        <w:t xml:space="preserve">Links with other policies </w:t>
      </w:r>
    </w:p>
    <w:p w14:paraId="30271664" w14:textId="77777777" w:rsidR="00711943" w:rsidRDefault="00711943" w:rsidP="002A4D0F">
      <w:r>
        <w:t xml:space="preserve">This accessibility plan is linked to the following policies and documents: </w:t>
      </w:r>
    </w:p>
    <w:p w14:paraId="2866D85E" w14:textId="77777777" w:rsidR="00711943" w:rsidRDefault="00711943" w:rsidP="002A4D0F">
      <w:r>
        <w:t xml:space="preserve">Risk assessment policy </w:t>
      </w:r>
    </w:p>
    <w:p w14:paraId="3CE49DAD" w14:textId="77777777" w:rsidR="00711943" w:rsidRDefault="00711943" w:rsidP="002A4D0F">
      <w:r>
        <w:t xml:space="preserve">Health and safety policy </w:t>
      </w:r>
    </w:p>
    <w:p w14:paraId="72997529" w14:textId="77777777" w:rsidR="00711943" w:rsidRDefault="00711943" w:rsidP="002A4D0F">
      <w:r>
        <w:t xml:space="preserve">Equality information and objectives (public sector equality duty) statement for publication </w:t>
      </w:r>
    </w:p>
    <w:p w14:paraId="57DFB028" w14:textId="77777777" w:rsidR="00711943" w:rsidRDefault="00711943" w:rsidP="002A4D0F">
      <w:r>
        <w:t>Special educational needs (SEN) information report and local offer</w:t>
      </w:r>
    </w:p>
    <w:p w14:paraId="33D370CF" w14:textId="519B8CDD" w:rsidR="00711943" w:rsidRDefault="00711943" w:rsidP="002A4D0F">
      <w:r>
        <w:t xml:space="preserve">SEND policy </w:t>
      </w:r>
    </w:p>
    <w:p w14:paraId="36A12520" w14:textId="77777777" w:rsidR="00711943" w:rsidRDefault="00711943" w:rsidP="002A4D0F">
      <w:r>
        <w:t xml:space="preserve">Educational Visits policy Behaviour policy </w:t>
      </w:r>
    </w:p>
    <w:p w14:paraId="32F93BD3" w14:textId="38C3BBF1" w:rsidR="00711943" w:rsidRDefault="00711943" w:rsidP="002A4D0F">
      <w:r>
        <w:t xml:space="preserve">Supporting pupils with medical conditions </w:t>
      </w:r>
    </w:p>
    <w:p w14:paraId="1B872A4A" w14:textId="77777777" w:rsidR="00711943" w:rsidRDefault="00711943" w:rsidP="002A4D0F"/>
    <w:sectPr w:rsidR="00711943" w:rsidSect="00A2587D">
      <w:pgSz w:w="11906" w:h="16838"/>
      <w:pgMar w:top="709" w:right="1440" w:bottom="1440" w:left="1440" w:header="708" w:footer="708" w:gutter="0"/>
      <w:pgBorders w:offsetFrom="page">
        <w:top w:val="single" w:sz="24" w:space="24" w:color="ED7D31" w:themeColor="accent2"/>
        <w:left w:val="single" w:sz="24" w:space="24" w:color="ED7D31" w:themeColor="accent2"/>
        <w:bottom w:val="single" w:sz="24" w:space="24" w:color="ED7D31" w:themeColor="accent2"/>
        <w:right w:val="single" w:sz="24" w:space="24" w:color="ED7D31" w:themeColor="accen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E1247"/>
    <w:multiLevelType w:val="hybridMultilevel"/>
    <w:tmpl w:val="AA62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D81CF3"/>
    <w:multiLevelType w:val="hybridMultilevel"/>
    <w:tmpl w:val="9C6EA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0701576">
    <w:abstractNumId w:val="1"/>
  </w:num>
  <w:num w:numId="2" w16cid:durableId="2136243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0EA"/>
    <w:rsid w:val="000468FF"/>
    <w:rsid w:val="00222AC8"/>
    <w:rsid w:val="002721BD"/>
    <w:rsid w:val="002A4D0F"/>
    <w:rsid w:val="00711943"/>
    <w:rsid w:val="007E5B1C"/>
    <w:rsid w:val="008A4A71"/>
    <w:rsid w:val="00991626"/>
    <w:rsid w:val="009F40EA"/>
    <w:rsid w:val="00A01230"/>
    <w:rsid w:val="00A2587D"/>
    <w:rsid w:val="00AB6843"/>
    <w:rsid w:val="00DA7880"/>
    <w:rsid w:val="00DE692D"/>
    <w:rsid w:val="00F67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8886A"/>
  <w15:chartTrackingRefBased/>
  <w15:docId w15:val="{4D7B4844-151F-4CC3-9451-B776EB45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0EA"/>
    <w:pPr>
      <w:ind w:left="720"/>
      <w:contextualSpacing/>
    </w:pPr>
  </w:style>
  <w:style w:type="table" w:styleId="TableGrid">
    <w:name w:val="Table Grid"/>
    <w:basedOn w:val="TableNormal"/>
    <w:uiPriority w:val="59"/>
    <w:rsid w:val="008A4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C4FD5C94675F4AB28077E9E9E5FF04" ma:contentTypeVersion="14" ma:contentTypeDescription="Create a new document." ma:contentTypeScope="" ma:versionID="d6142aef58cf05ca36418679ae5f3281">
  <xsd:schema xmlns:xsd="http://www.w3.org/2001/XMLSchema" xmlns:xs="http://www.w3.org/2001/XMLSchema" xmlns:p="http://schemas.microsoft.com/office/2006/metadata/properties" xmlns:ns2="52199f5e-a841-4139-9f2c-f9361b55fef7" xmlns:ns3="b0ce627f-4988-478b-8767-9fdcf5b3f86c" targetNamespace="http://schemas.microsoft.com/office/2006/metadata/properties" ma:root="true" ma:fieldsID="a79ec9fb0a8ebd149d5d79b10889cdde" ns2:_="" ns3:_="">
    <xsd:import namespace="52199f5e-a841-4139-9f2c-f9361b55fef7"/>
    <xsd:import namespace="b0ce627f-4988-478b-8767-9fdcf5b3f8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99f5e-a841-4139-9f2c-f9361b55f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8a787-ab12-4e72-b3f1-70ae65c0b4a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ce627f-4988-478b-8767-9fdcf5b3f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a46aacd-4f1a-458a-b0b1-751e27ce1c02}" ma:internalName="TaxCatchAll" ma:showField="CatchAllData" ma:web="b0ce627f-4988-478b-8767-9fdcf5b3f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ce627f-4988-478b-8767-9fdcf5b3f86c" xsi:nil="true"/>
    <lcf76f155ced4ddcb4097134ff3c332f xmlns="52199f5e-a841-4139-9f2c-f9361b55fe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9DA28D-FDFA-472C-A4EC-D3EFB4CF6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99f5e-a841-4139-9f2c-f9361b55fef7"/>
    <ds:schemaRef ds:uri="b0ce627f-4988-478b-8767-9fdcf5b3f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786D1B-D62D-44E2-8A06-8F31229C8A39}">
  <ds:schemaRefs>
    <ds:schemaRef ds:uri="http://schemas.microsoft.com/sharepoint/v3/contenttype/forms"/>
  </ds:schemaRefs>
</ds:datastoreItem>
</file>

<file path=customXml/itemProps3.xml><?xml version="1.0" encoding="utf-8"?>
<ds:datastoreItem xmlns:ds="http://schemas.openxmlformats.org/officeDocument/2006/customXml" ds:itemID="{98D06232-0388-437A-AF0F-345DCD28D9FA}">
  <ds:schemaRefs>
    <ds:schemaRef ds:uri="http://schemas.microsoft.com/office/2006/metadata/properties"/>
    <ds:schemaRef ds:uri="http://schemas.openxmlformats.org/package/2006/metadata/core-properties"/>
    <ds:schemaRef ds:uri="http://purl.org/dc/elements/1.1/"/>
    <ds:schemaRef ds:uri="52199f5e-a841-4139-9f2c-f9361b55fef7"/>
    <ds:schemaRef ds:uri="b0ce627f-4988-478b-8767-9fdcf5b3f86c"/>
    <ds:schemaRef ds:uri="http://www.w3.org/XML/1998/namespace"/>
    <ds:schemaRef ds:uri="http://schemas.microsoft.com/office/2006/documentManagement/types"/>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1753</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NPadgett</dc:creator>
  <cp:keywords/>
  <dc:description/>
  <cp:lastModifiedBy>N Padgett</cp:lastModifiedBy>
  <cp:revision>2</cp:revision>
  <cp:lastPrinted>2024-10-09T11:25:00Z</cp:lastPrinted>
  <dcterms:created xsi:type="dcterms:W3CDTF">2025-10-30T15:12:00Z</dcterms:created>
  <dcterms:modified xsi:type="dcterms:W3CDTF">2025-10-30T15:12:00Z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0x010100FAC4FD5C94675F4AB28077E9E9E5FF04</vt:lpwstr>
  </property>
  <property fmtid="{D5CDD505-2E9C-101B-9397-08002B2CF9AE}" pid="3" name="MediaServiceImageTags">
    <vt:lpwstr/>
  </property>
</Properties>
</file>